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40 GLKrWG (Bayern) — Wahlrechtsgrundsätze</w:t>
      </w:r>
    </w:p>
    <w:p>
      <w:r>
        <w:rPr>
          <w:color w:val="555555"/>
          <w:sz w:val="18"/>
        </w:rPr>
        <w:t xml:space="preserve">Gemeinde- und Landkreiswahlgesetz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erste Bürgermeisterin oder der erste Bürgermeister und die Landrätin oder der Landrat werden in allgemeiner, gleicher, unmittelbarer, geheimer und freier Wahl von den Wahlberechtigten aus dem Kreis der vom Wahlausschuss zugelassenen sich bewerbenden Personen gewählt.</w:t>
      </w:r>
    </w:p>
    <w:p>
      <w:r>
        <w:t xml:space="preserve">(2) Wird kein oder nur ein Wahlvorschlag zugelassen, wird die Wahl ohne Bindung an eine vorgeschlagene sich bewerbende Person durchgeführt.</w:t>
      </w:r>
    </w:p>
    <w:p>
      <w:r>
        <w:t xml:space="preserve">(3) Jede stimmberechtigte Person hat nur eine Stimme.</w:t>
      </w:r>
    </w:p>
    <w:p>
      <w:r>
        <w:rPr>
          <w:color w:val="555555"/>
          <w:sz w:val="17"/>
        </w:rPr>
        <w:t xml:space="preserve">Zitiervorschlag: Art 40 GLKrWG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https://recht.nulegal.eu/gesetze/GLKrWG/40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