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GLKrWG (Bayern) — Eintragung in Unterstützungslisten, Eintragungsscheine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erforderlich, werden für jeden Wahlvorschlag von den Wahlleiterinnen oder Wahlleitern spätestens am Tag nach der Einreichung bis 12 Uhr des 48. Tags vor dem Wahltag bei Gemeindewahlen und bei Landkreiswahlen in den Gemeinden Unterstützungslisten aufgelegt. Art. 20 gilt entsprechend.</w:t>
      </w:r>
    </w:p>
    <w:p>
      <w:r>
        <w:t xml:space="preserve">(2) Wahlberechtigte, die einen Wahlvorschlag unterstützen wollen, haben sich dazu in der Gemeinde, in der sie spätestens am letzten Tag der Eintragungsfrist wahlberechtigt sind, in Unterstützungslisten einzutragen; ausgeschlossen sind sich bewerbende Personen und Ersatzleute von Wahlvorschlägen sowie Wahlberechtigte, die sich in eine andere Unterstützungsliste eingetragen oder einen Wahlvorschlag unterzeichnet haben. Art. 24 Abs. 3 Satz 5 gilt entsprechend. Die Zurücknahme gültiger Unterschriften ist wirkungslos.</w:t>
      </w:r>
    </w:p>
    <w:p>
      <w:r>
        <w:t xml:space="preserve">(3) Die Unterschrift muss eigenhändig geleistet werden. Wer glaubhaft macht, wegen Krankheit oder körperlicher Behinderung nicht oder nur unter unzumutbaren Schwierigkeiten in der Lage zu sein, einen Eintragungsraum aufzusuchen, erhält auf Antrag einen Eintragungsschein. Die Eintragung kann in diesem Fall dadurch bewirkt werden, dass die wahlberechtigte Person auf dem Eintragungsschein ihre Unterstützung eines bestimmten Wahlvorschlags erklärt und eine Hilfsperson beauftragt, die Eintragung im Eintragungsraum für sie vorzunehmen. Die wahlberechtigte Person hat auf dem Eintragungsschein außerdem an Eides statt zu versichern, dass die Voraussetzungen nach Satz 2 vorliegen.</w:t>
      </w:r>
    </w:p>
    <w:p>
      <w:r>
        <w:t xml:space="preserve">(4) Gegen die Versagung eines Eintragungsscheins kann spätestens am sechsten Tag vor Ablauf der Eintragungsfrist Beschwerde an die Rechtsaufsichtsbehörde erhoben werden. Diese hat spätestens am vierten Tag vor dem letzten Tag der Eintragungsfrist über die Beschwerde zu entscheiden. Gegen die Entscheidung der Rechtsaufsichtsbehörde ist der Verwaltungsrechtsweg nach der Verwaltungsgerichtsordnung (VwGO) gegeben. Die Klage hat für die Durchführung des sonstigen Wahlverfahrens keine aufschiebende Wirkung.</w:t>
      </w:r>
    </w:p>
    <w:p>
      <w:r>
        <w:rPr>
          <w:color w:val="555555"/>
          <w:sz w:val="17"/>
        </w:rPr>
        <w:t xml:space="preserve">Zitiervorschlag: Art 28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