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GLKrWG (Bayern) — Wahlrechtsgrundsätze</w:t>
      </w:r>
    </w:p>
    <w:p>
      <w:r>
        <w:rPr>
          <w:color w:val="555555"/>
          <w:sz w:val="18"/>
        </w:rPr>
        <w:t xml:space="preserve">Gemeinde- und Landkreiswahlgesetz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ehrenamtlichen Gemeinderatsmitglieder, die Kreisrätinnen und Kreisräte werden in allgemeiner, gleicher, unmittelbarer, geheimer und freier Wahl nach den Grundsätzen eines verbesserten Verhältniswahlrechts gewählt.</w:t>
      </w:r>
    </w:p>
    <w:p>
      <w:r>
        <w:t xml:space="preserve">(2) Wird in einem Wahlkreis kein oder nur ein Wahlvorschlag zugelassen, findet Mehrheitswahl statt.</w:t>
      </w:r>
    </w:p>
    <w:p>
      <w:r>
        <w:rPr>
          <w:color w:val="555555"/>
          <w:sz w:val="17"/>
        </w:rPr>
        <w:t xml:space="preserve">Zitiervorschlag: Art 22 GLKrWG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