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GLKrWG (Bayern) — Wählbarkeit für das Amt eines Gemeinderatsmitglieds, einer Kreisrätin oder eines Kreisrats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das Amt eines Gemeinderatsmitglieds, einer Kreisrätin oder eines Kreisrats ist jede Person wählbar, die am Wahltag</w:t>
      </w:r>
    </w:p>
    <w:p>
      <w:r>
        <w:t xml:space="preserve">1. Unionsbürgerin oder Unionsbürger im Sinn von Art. 1 Abs. 2 ist,</w:t>
      </w:r>
    </w:p>
    <w:p>
      <w:r>
        <w:t xml:space="preserve">2. das 18. Lebensjahr vollendet hat,</w:t>
      </w:r>
    </w:p>
    <w:p>
      <w:r>
        <w:t xml:space="preserve">3. seit mindestens drei Monaten im Wahlkreis eine Wohnung hat, die nicht ihre Hauptwohnung sein muss, oder ohne eine Wohnung zu haben sich im Wahlkreis gewöhnlich aufhält; Art. 1 Abs. 3 Satz 3 und Abs. 4 gilt entsprechend.</w:t>
      </w:r>
    </w:p>
    <w:p>
      <w:r>
        <w:t xml:space="preserve">(2) Nicht wählbar ist, wer am Wahltag</w:t>
      </w:r>
    </w:p>
    <w:p>
      <w:r>
        <w:t xml:space="preserve">1. nach Art. 2 vom Wahlrecht ausgeschlossen ist,</w:t>
      </w:r>
    </w:p>
    <w:p>
      <w:r>
        <w:t xml:space="preserve">2. infolge deutschen Richterspruchs die Wählbarkeit oder die Fähigkeit zur Bekleidung öffentlicher Ämter nicht besitzt oder</w:t>
      </w:r>
    </w:p>
    <w:p>
      <w:r>
        <w:t xml:space="preserve">3. sich wegen einer vorsätzlichen Straftat in Strafhaft oder in Sicherungsverwahrung befindet.</w:t>
      </w:r>
    </w:p>
    <w:p>
      <w:r>
        <w:rPr>
          <w:color w:val="555555"/>
          <w:sz w:val="17"/>
        </w:rPr>
        <w:t xml:space="preserve">Zitiervorschlag: Art 21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