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GLKrWG (Bayern) — Abstimmungsgeheimnis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sind Vorkehrungen zu treffen, dass die abstimmende Person die Stimmzettel unbeobachtet kennzeichnen kann. Für die Aufnahme der Stimmzettel sind Wahlurnen zu verwenden, die die Wahrung des Abstimmungsgeheimnisses sicherstellen.</w:t>
      </w:r>
    </w:p>
    <w:p>
      <w:r>
        <w:t xml:space="preserve">(2) Die nach Art. 3 Abs. 5 zulässige Hilfe bei der Stimmabgabe bleibt unberührt. Die Hilfsperson ist zur Geheimhaltung der Kenntnisse verpflichtet, die sie bei der Hilfeleistung von der Wahl einer anderen Person erlangt hat.</w:t>
      </w:r>
    </w:p>
    <w:p>
      <w:r>
        <w:rPr>
          <w:color w:val="555555"/>
          <w:sz w:val="17"/>
        </w:rPr>
        <w:t xml:space="preserve">Zitiervorschlag: Art 18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