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GLKrWG (Bayern) — Dauer der Abstimmung</w:t>
      </w:r>
    </w:p>
    <w:p>
      <w:r>
        <w:rPr>
          <w:color w:val="555555"/>
          <w:sz w:val="18"/>
        </w:rPr>
        <w:t xml:space="preserve">Gemeinde- und Landkreiswahlgesetz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Abstimmung dauert von 8 Uhr bis 18 Uhr.</w:t>
      </w:r>
    </w:p>
    <w:p>
      <w:r>
        <w:t xml:space="preserve">(2) Trifft eine Gemeinde- oder Landkreiswahl mit einer anderen Wahl zusammen, deren Abstimmung über 18 Uhr hinaus dauert, endet die Abstimmung mit der für die andere Wahl bestimmten Uhrzeit.</w:t>
      </w:r>
    </w:p>
    <w:p>
      <w:r>
        <w:t xml:space="preserve">(3) In Gemeinden, die nur einen Stimmbezirk bilden, kann bei Gemeindewahlen die Abstimmung vorzeitig beendet werden, wenn alle Stimmberechtigten abgestimmt haben und nicht zugleich andere Wahlen oder Abstimmungen stattfinden.</w:t>
      </w:r>
    </w:p>
    <w:p>
      <w:r>
        <w:rPr>
          <w:color w:val="555555"/>
          <w:sz w:val="17"/>
        </w:rPr>
        <w:t xml:space="preserve">Zitiervorschlag: Art 15 GLKrWG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https://recht.nulegal.eu/gesetze/GLKrWG/15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