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GLKrWG (Bayern) — Briefwahl</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Briefwahl hat die stimmberechtigte Person der Gemeinde im verschlossenen Wahlbriefumschlag</w:t>
      </w:r>
    </w:p>
    <w:p>
      <w:r>
        <w:t xml:space="preserve">1. den Wahlschein und</w:t>
      </w:r>
    </w:p>
    <w:p>
      <w:r>
        <w:t xml:space="preserve">2. die Stimmzettel im verschlossenen Stimmzettelumschlag</w:t>
      </w:r>
    </w:p>
    <w:p>
      <w:r>
        <w:t xml:space="preserve">zu übersenden. Der Wahlbrief muss bei der Gemeinde, die den Wahlschein ausgestellt hat, spätestens am Wahltag bis 18 Uhr eingehen. Art. 15 Abs. 2 gilt entsprechend.</w:t>
      </w:r>
    </w:p>
    <w:p>
      <w:r>
        <w:t xml:space="preserve">(2) Auf dem Wahlschein hat die wählende Person oder die Person ihres Vertrauens an Eides statt zu versichern, dass die Stimmzettel persönlich oder gemäß dem erklärten Willen der wählenden Person gekennzeichnet worden sind.</w:t>
      </w:r>
    </w:p>
    <w:p>
      <w:r>
        <w:rPr>
          <w:color w:val="555555"/>
          <w:sz w:val="17"/>
        </w:rPr>
        <w:t xml:space="preserve">Zitiervorschlag: Art 14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