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GLKrWG (Bayern) — Wählerverzeichnisse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legen für jeden allgemeinen Stimmbezirk ein neues Wählerverzeichnis an und tragen darin die Wahlberechtigten von Amts wegen oder auf Antrag ein.</w:t>
      </w:r>
    </w:p>
    <w:p>
      <w:r>
        <w:t xml:space="preserve">(2) Die Gemeinden halten die Wählerverzeichnisse an den Werktagen vom 20. bis zum 16. Tag vor dem Wahltag zur Einsicht bereit (Einsichtsfrist). Einsicht nehmen darf zur Prüfung der Richtigkeit oder der Vollständigkeit des Wählerverzeichnisses jede wahlberechtigte Person</w:t>
      </w:r>
    </w:p>
    <w:p>
      <w:r>
        <w:t xml:space="preserve">1. zu den zu ihrer Person eingetragenen Daten,</w:t>
      </w:r>
    </w:p>
    <w:p>
      <w:r>
        <w:t xml:space="preserve">2. zu Daten von anderen im Wählerverzeichnis eingetragenen Personen, wenn sie Tatsachen glaubhaft macht, aus denen sich insoweit eine Unrichtigkeit oder eine Unvollständigkeit des Wählerverzeichnisses ergeben kann. Dieses Recht besteht nicht hinsichtlich der Daten von Wahlberechtigten, für die im Melderegister eine Auskunftssperre nach dem Bundesmeldegesetz eingetragen ist.</w:t>
      </w:r>
    </w:p>
    <w:p>
      <w:r>
        <w:t xml:space="preserve">(3) Beschwerden wegen der Richtigkeit oder der Vollständigkeit der Wählerverzeichnisse können innerhalb der Einsichtsfrist, gegen die Ablehnung von Anträgen auf Eintragung in das Wählerverzeichnis bis zum 13. Tag vor dem Wahltag schriftlich oder zur Niederschrift bei der Gemeinde eingelegt werden. Falls diese nicht abhilft, hat sie die Beschwerde unverzüglich, jedoch spätestens bis zum zehnten Tag vor dem Wahltag, der Rechtsaufsichtsbehörde zur Entscheidung vorzulegen. Die Rechtsaufsichtsbehörde hat spätestens am vierten Tag vor dem Wahltag über die Beschwerde zu entscheiden. Gegen die Entscheidung der Rechtsaufsichtsbehörde ist der Verwaltungsrechtsweg nach der Verwaltungsgerichtsordnung (VwGO) gegeben. Die Klage hat für die Durchführung des sonstigen Wahlverfahrens keine aufschiebende Wirkung.</w:t>
      </w:r>
    </w:p>
    <w:p>
      <w:r>
        <w:rPr>
          <w:color w:val="555555"/>
          <w:sz w:val="17"/>
        </w:rPr>
        <w:t xml:space="preserve">Zitiervorschlag: Art 12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