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GLKrWG (Bayern) — Wahlkreis, Stimmbezirke</w:t>
      </w:r>
    </w:p>
    <w:p>
      <w:r>
        <w:rPr>
          <w:color w:val="555555"/>
          <w:sz w:val="18"/>
        </w:rPr>
        <w:t xml:space="preserve">Gemeinde- und Landkreiswahlgesetz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Gemeindewahlen bildet jede Gemeinde, bei Landkreiswahlen bildet jeder Landkreis einen Wahlkreis.</w:t>
      </w:r>
    </w:p>
    <w:p>
      <w:r>
        <w:t xml:space="preserve">(2) Wahlkreise können in Stimmbezirke eingeteilt werden. Die Einteilung erfolgt jeweils durch die Gemeinde. Gemeinden mit mehr als 2 500 Einwohnerinnen und Einwohnern sind in Stimmbezirke einzuteilen.</w:t>
      </w:r>
    </w:p>
    <w:p>
      <w:r>
        <w:t xml:space="preserve">(3) Kein Stimmbezirk darf mehr als 2 500 Wahlberechtigte umfassen. Die Zahl der Wahlberechtigten eines Stimmbezirks darf nicht so gering sein, dass erkennbar wird, wie einzelne Personen gewählt haben.</w:t>
      </w:r>
    </w:p>
    <w:p>
      <w:r>
        <w:rPr>
          <w:color w:val="555555"/>
          <w:sz w:val="17"/>
        </w:rPr>
        <w:t xml:space="preserve">Zitiervorschlag: Art 11 GLKrWG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