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GKVRefG 2000 — Psychiatrische Abteilungen an Allgemeinkrankenhäusern</w:t>
      </w:r>
    </w:p>
    <w:p>
      <w:r>
        <w:rPr>
          <w:color w:val="555555"/>
          <w:sz w:val="18"/>
        </w:rPr>
        <w:t xml:space="preserve">GKV-Gesundheitsreformgesetz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zum Zeitpunkt des Inkrafttretens dieses Gesetzes bestehenden Ermächtigungen der in § 118 Abs. 2 des Fünften Buches Sozialgesetzbuch genannten Einrichtungen bleiben bis zum 31. Dezember 2001 bestehen.</w:t>
      </w:r>
    </w:p>
    <w:p>
      <w:r>
        <w:rPr>
          <w:color w:val="555555"/>
          <w:sz w:val="17"/>
        </w:rPr>
        <w:t xml:space="preserve">Zitiervorschlag: § 4 GKVRefG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https://recht.nulegal.eu/gesetze/GKVRefG%202000/4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