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GKV-SolG — Inkrafttreten, Außerkrafttreten</w:t>
      </w:r>
    </w:p>
    <w:p>
      <w:r>
        <w:rPr>
          <w:color w:val="555555"/>
          <w:sz w:val="18"/>
        </w:rPr>
        <w:t xml:space="preserve">GKV-Solidaritätsstärkungsgesetz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Artikel 3 tritt mit Wirkung vom 1. Januar 1998 in Kraft.</w:t>
      </w:r>
    </w:p>
    <w:p>
      <w:r>
        <w:t xml:space="preserve">(1a) Artikel 5 Nr. 1 tritt am Tage nach der Verkündung in Kraft.</w:t>
      </w:r>
    </w:p>
    <w:p>
      <w:r>
        <w:t xml:space="preserve">(2) Im übrigen tritt das Gesetz am 1. Januar 1999 in Kraft.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26 GKV-SolG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https://recht.nulegal.eu/gesetze/GKV-SolG/26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