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GKV-SolG — Übergangsregelung</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(1) Pflichtversicherte und ihre nach § 10 des Fünften Buches Sozialgesetzbuch versicherten Familienangehörigen, die als Pflichtversicherte oder als freiwillig Versicherte vor dem 1. Januar 1999 rechtswirksam Kostenerstattung gewählt hatten, behalten den Anspruch, Kostenerstattung zu wählen.</w:t>
      </w:r>
    </w:p>
    <w:p>
      <w:r>
        <w:t xml:space="preserve">(2) Satzungsbestimmungen, die Krankenkassen auf Grund des § 53 Fünftes Buch Sozialgesetzbuch getroffen haben, werden mit Inkrafttreten dieses Gesetzes unwirksam. Satzungsbestimmungen, die Krankenkassen auf Grund der §§ 54 bis 56 Fünftes Buch Sozialgesetzbuch getroffen haben, werden spätestens mit Ablauf des 31. Dezember 1999 unwirksam.</w:t>
      </w:r>
    </w:p>
    <w:p>
      <w:r>
        <w:t xml:space="preserve">(3) Der am 31. Dezember 1997 geltende einheitliche Bewertungsmaßstab für vertragszahnärztliche prothetische Leistungen und die zu diesem Zeitpunkt für diese Leistungen geltenden Gesamtverträge treten wieder in Kraft. Die am 31. Dezember 1997 geltenden Punktwerte für zahnärztliche Leistungen bei Zahnersatz einschließlich Zahnkronen und bei kieferorthopädischer Behandlung werden bis zum Abschluß von Vergütungsvereinbarungen für das Jahr 1999 um 10 vom Hundert abgesenkt. Das am 31. Dezember 1997 geltende bundeseinheitliche Leistungsverzeichnis zahntechnischer Leistungen sowie die zu diesem Zeitpunkt geltenden Vergütungsregelungen für zahntechnische Leistungen treten ebenfalls wieder in Kraft.</w:t>
      </w:r>
    </w:p>
    <w:p>
      <w:r>
        <w:t xml:space="preserve">(4) Versicherte, für deren Versorgung mit Zahnersatz vor dem 1. Januar 1999 ein Heil- und Kostenplan erstellt ist, haben nach Inkrafttreten dieses Gesetzes Anspruch auf einen Festzuschuß nach dem am 31. Dezember 1998 geltenden Recht. Bei der kieferorthopädischen Versorgung gilt § 29 Fünftes Buch Sozialgesetzbuch einschließlich der Folgen für die Abrechnung als Sachleistung auch für bereits vor dem 1. Januar 1999 begonnene Behandlungen.</w:t>
      </w:r>
    </w:p>
    <w:p>
      <w:r>
        <w:rPr>
          <w:color w:val="555555"/>
          <w:sz w:val="17"/>
        </w:rPr>
        <w:t xml:space="preserve">Zitiervorschlag: Art 24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