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GKV-SolG — Gebührenordnung für Zahnärzte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(aufgehoben)</w:t>
      </w:r>
    </w:p>
    <w:p>
      <w:r>
        <w:t xml:space="preserve">(2) Die nach Absatz 1 vorgeschriebene Höhe der Vergütung kann auf Grund der einschlägigen Ermächtigung durch Rechtsverordnung geändert werden.</w:t>
      </w:r>
    </w:p>
    <w:p>
      <w:r>
        <w:rPr>
          <w:color w:val="555555"/>
          <w:sz w:val="17"/>
        </w:rPr>
        <w:t xml:space="preserve">Zitiervorschlag: Art 22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