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GKV-SolG — Gesamtvergütung der Vertragsärzte im Jahr 1999</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(1) Die nach § 85 Abs. 3 Fünftes Buch Sozialgesetzbuch zu vereinbarenden Veränderungen der Gesamtvergütungen der Vertragsärzte als Ausgabenvolumen für die Gesamtheit der zu vergütenden ärztlichen Leistungen dürfen sich im Jahr 1999 höchstens um die nach Artikel 18 festgestellte Veränderungsrate der beitragspflichtigen Einnahmen der Mitglieder aller Krankenkassen je Mitglied im Jahr 1998 verändern; die Vomhundertsätze sind für das Beitrittsgebiet und das übrige Bundesgebiet getrennt anzuwenden. Die Veränderungen der Gesamtvergütungen im Jahr 1999 sind auf das entsprechend der Veränderung der beitragspflichtigen Einnahmen im Jahr 1998 veränderte Vergütungsvolumen des Jahres 1997 zu beziehen. Der Ausgangsbetrag für die Vereinbarung der Gesamtvergütungen ist um den Betrag zu verringern, der im Jahr 1997 für die Leistungen nach Absatz 4 vergütet wurde. Zur Vergütung von Leistungen, die aufgrund von vor dem 30. November 1998 vereinbarten Strukturverträgen nach § 73a Fünftes Buch Sozialgesetzbuch erbracht werden, können die Gesamtvergütungen nach Satz 1 und 2 um bis zu 0,6 vom Hundert erhöht werden. Eine Veränderung der Zahl der Mitglieder der beteiligten Krankenkassen in den Jahren 1997 bis 1999 ist zu beachten. § 85 Abs. 3c erster Halbsatz Fünftes Buch Sozialgesetzbuch gilt nicht.</w:t>
      </w:r>
    </w:p>
    <w:p>
      <w:r>
        <w:t xml:space="preserve">(1a) Übersteigt die nach Artikel 18 festgestellte Veränderungsrate der beitragspflichtigen Einnahmen der Mitglieder aller Krankenkassen je Mitglied im früheren Bundesgebiet die entsprechende Veränderungsrate im gesamten Bundesgebiet, werden die Gesamtvergütungen im Bereich der Kassenärztlichen Vereinigungen im Beitrittsgebiet für 1999 durch Ausgleich unter den Kassenärztlichen Vereinigungen insgesamt um die Vergütungssumme erhöht, welche sich aus der Differenz der nach Absatz 1 vereinbarten Veränderungsraten je Mitglied im früheren Bundesgebiet und der Veränderungsrate der beitragspflichtigen Einnahmen der Mitglieder aller Krankenkassen je Mitglied im gesamten Bundesgebiet ergibt. Das Nähere über den Ausgleich und die Einzelheiten des Zahlungsverkehrs bestimmt die Kassenärztliche Bundesvereinigung in Richtlinien nach § 75 Abs. 7 des Fünften Buches Sozialgesetzbuch.</w:t>
      </w:r>
    </w:p>
    <w:p>
      <w:r>
        <w:t xml:space="preserve">(1b) Absatz 1a gilt für Absatz 1 Satz 2 entsprechend.</w:t>
      </w:r>
    </w:p>
    <w:p>
      <w:r>
        <w:t xml:space="preserve">(2) Die Gesamtvergütungen im Jahr 1999 werden um das nach Artikel 11 Abs. 1 Satz 2 Nr. 2 und Satz 3 des Gesetzes über die Berufe des Psychologischen Psychotherapeuten und des Kinder- und Jugendlichenpsychotherapeuten, zur Änderung des Fünften Buches Sozialgesetzbuch und anderer Gesetze bestimmte, um 40 vom Hundert erhöhte, Ausgabenvolumen für die Vergütung psychotherapeutischer Leistungen erhöht.</w:t>
      </w:r>
    </w:p>
    <w:p>
      <w:r>
        <w:t xml:space="preserve">(3) Das in der Gesamtvergütung für die vertragsärztliche Versorgung von den Krankenkassen für die Vergütung psychotherapeutischer Leistungen nach Artikel 11 Abs. 1 und 2 des Gesetzes über die Berufe des Psychologischen Psychotherapeuten und des Kinder- und Jugendlichenpsychotherapeuten, zur Änderung des Fünften Buches Sozialgesetzbuch und anderer Gesetze entrichtete Ausgabenvolumen für die Vergütung psychotherapeutischer Leistungen ist bei der Honorarverteilung nach § 85 Abs. 4 Fünftes Buch Sozialgesetzbuch nur zur Vergütung dieser Leistungen zu verwenden. Die psychotherapeutischen Leistungen der Ärzte und der Psychotherapeuten dürfen nicht unterschiedlich vergütet werden.</w:t>
      </w:r>
    </w:p>
    <w:p>
      <w:r>
        <w:t xml:space="preserve">(4) Vertragsärztliche Leistungen nach den §§ 25 und 26 des Fünften Buches Sozialgesetzbuch, die ärztlichen Leistungen im Rahmen des § 196 Abs. 1 der Reichsversicherungsordnung sowie die ärztlichen Leistungen im Rahmen der von den Krankenkassen satzungsgemäß übernommenen Schutzimpfungen sowie vertragsärztliche Leistungen bei der Substitutionsbehandlung der Drogenabhängigkeit gemäß den Richtlinien des Bundesausschusses der Ärzte und Krankenkassen werden von den Krankenkassen außerhalb der nach Absatz 1 vereinbarten Gesamtvergütungen vergütet.</w:t>
      </w:r>
    </w:p>
    <w:p>
      <w:r>
        <w:t xml:space="preserve">(5) Vergütungsansprüche der Kassenärztlichen Vereinigungen gegenüber Krankenkassen aus Verträgen, die im Jahr 1999 gelten, verändern sich für die das Jahr 1999 betreffende Geltungsdauer nach Maßgabe der Regelung der Absätze 1 bis 3 entsprechend.</w:t>
      </w:r>
    </w:p>
    <w:p>
      <w:r>
        <w:t xml:space="preserve">(6) Für Leistungen nach § 85 Abs. 3a Satz 4 des Fünften Buches Sozialgesetzbuch gilt Absatz 1 entsprechend.</w:t>
      </w:r>
    </w:p>
    <w:p>
      <w:r>
        <w:rPr>
          <w:color w:val="555555"/>
          <w:sz w:val="17"/>
        </w:rPr>
        <w:t xml:space="preserve">Zitiervorschlag: Art 14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