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GKGBbg (Brandenburg) — Rechtsfehler bei der gemeinsamen kommunalen Anstalt</w:t>
      </w:r>
    </w:p>
    <w:p>
      <w:r>
        <w:rPr>
          <w:color w:val="555555"/>
          <w:sz w:val="18"/>
        </w:rPr>
        <w:t xml:space="preserve">Gesetz über kommunale Gemeinschaftsarbeit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47 und 48 gelten für die gemeinsame kommunale Anstalt entsprechend. Dabei entsprechen</w:t>
      </w:r>
    </w:p>
    <w:p>
      <w:r>
        <w:t xml:space="preserve">der Zweckverband der gemeinsamen kommunalen Anstalt,</w:t>
      </w:r>
    </w:p>
    <w:p>
      <w:r>
        <w:t xml:space="preserve">das Verbandsmitglied dem Träger,</w:t>
      </w:r>
    </w:p>
    <w:p>
      <w:r>
        <w:t xml:space="preserve">die Verbandsversammlung dem Verwaltungsrat und</w:t>
      </w:r>
    </w:p>
    <w:p>
      <w:r>
        <w:t xml:space="preserve">die Verbandssatzung der Anstaltssatzung.</w:t>
      </w:r>
    </w:p>
    <w:p>
      <w:r>
        <w:rPr>
          <w:color w:val="555555"/>
          <w:sz w:val="17"/>
        </w:rPr>
        <w:t xml:space="preserve">Zitiervorschlag: § 49 GKGBbg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https://recht.nulegal.eu/gesetze/GKGBbg/49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