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GKGBbg (Brandenburg) — Schlichtung von Streitigkeiten</w:t>
      </w:r>
    </w:p>
    <w:p>
      <w:r>
        <w:rPr>
          <w:color w:val="555555"/>
          <w:sz w:val="18"/>
        </w:rPr>
        <w:t xml:space="preserve">Gesetz über kommunale Gemeinschaftsarbeit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Streitigkeiten über Rechte und Pflichten aus Vereinbarungen über eine kommunale Zusammenarbeit oder aus Verbands- oder Anstaltssatzungen nach diesem Gesetz kann vor Anrufung eines Gerichts die Kommunalaufsichtsbehörde zur Schlichtung unter Darlegung des Sach- und Streitstandes angerufen werden, soweit nicht in der Vereinbarung oder der Satzung ein besonderes Schiedsverfahren vorgesehen ist. Die Kommunalaufsichtsbehörde unterbreitet einen Vorschlag zur Beilegung der Streitigkeit; die kommunalaufsichtsbehördlichen Befugnisse bleiben unberührt. Die Kommunalaufsichtsbehörde kann sich sachkundiger Dritter bedienen und dadurch entstandene Kosten den Beteiligten durch Bescheid auferlegen.</w:t>
      </w:r>
    </w:p>
    <w:p>
      <w:r>
        <w:rPr>
          <w:color w:val="555555"/>
          <w:sz w:val="17"/>
        </w:rPr>
        <w:t xml:space="preserve">Zitiervorschlag: § 44 GKGBbg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https://recht.nulegal.eu/gesetze/GKGBbg/44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