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GKGBbg (Brandenburg) — Wahrnehmung der Verwaltungs- und Kassengeschäfte</w:t>
      </w:r>
    </w:p>
    <w:p>
      <w:r>
        <w:rPr>
          <w:color w:val="555555"/>
          <w:sz w:val="18"/>
        </w:rPr>
        <w:t xml:space="preserve">Gesetz über kommunale Gemeinschaftsarbeit im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Die Verbandssatzung kann vorsehen, dass die Kassen- und Verwaltungsgeschäfte einschließlich der Personalverwaltung ganz oder teilweise durch ein kommunales Mitglied im Namen des Zweckverbandes wahrgenommen werden.</w:t>
      </w:r>
    </w:p>
    <w:p>
      <w:r>
        <w:rPr>
          <w:color w:val="555555"/>
          <w:sz w:val="17"/>
        </w:rPr>
        <w:t xml:space="preserve">Zitiervorschlag: § 27 GKGBbg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https://recht.nulegal.eu/gesetze/GKGBbg/27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