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GKG 2004 — Übergangsvorschrift zum Gesetz zur Änderung des Zuständigkeitsstreitwerts der Amtsgerichte, zum Ausbau der Spezialisierung der Justiz in Zivilsachen sowie zur Änderung weiterer prozessualer Regelungen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§§ 66, 68 und 69 sind in ihrer bis einschließlich 31. Dezember 2025 geltenden Fassung weiter anzuwenden</w:t>
      </w:r>
    </w:p>
    <w:p>
      <w:pPr>
        <w:ind w:left="420"/>
      </w:pPr>
      <w:r>
        <w:t xml:space="preserve">1. in Rechtsstreitigkeiten, die vor dem 1. Januar 2026 anhängig geworden sind; dies gilt nicht im Verfahren über ein Rechtsmittel, das nach dem 31. Dezember 2025 eingelegt worden ist;</w:t>
      </w:r>
    </w:p>
    <w:p>
      <w:pPr>
        <w:ind w:left="420"/>
      </w:pPr>
      <w:r>
        <w:t xml:space="preserve">2. in Strafsachen, in gerichtlichen Verfahren nach dem Gesetz über Ordnungswidrigkeiten und nach dem Strafvollzugsgesetz, wenn die über die Kosten ergehende Entscheidung vor dem 1. Januar 2026 rechtskräftig geworden ist;</w:t>
      </w:r>
    </w:p>
    <w:p>
      <w:pPr>
        <w:ind w:left="420"/>
      </w:pPr>
      <w:r>
        <w:t xml:space="preserve">3. in Insolvenzverfahren, in Verteilungsverfahren nach der Schifffahrtsrechtlichen Verteilungsordnung, in Verfahren nach dem Unternehmensstabilisierungs- und -restrukturierungsgesetz, in Umsetzungsverfahren nach dem Verbraucherrechtedurchsetzungsgesetz sowie in Verfahren der Zwangsversteigerung und Zwangsverwaltung für Kosten, die vor dem 1. Januar 2026 fällig geworden sind.</w:t>
      </w:r>
    </w:p>
    <w:p>
      <w:r>
        <w:t xml:space="preserve">Satz 1 gilt entsprechend bei Verweisungen auf die dort genannten Vorschriften.</w:t>
      </w:r>
    </w:p>
    <w:p>
      <w:r>
        <w:rPr>
          <w:color w:val="555555"/>
          <w:sz w:val="17"/>
        </w:rPr>
        <w:t xml:space="preserve">Zitiervorschlag: § 72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