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70a GKG 2004 — Bekanntmachung von Neufassungen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Das Bundesministerium der Justiz kann nach Änderungen den Wortlaut des Gesetzes feststellen und als Neufassung im Bundesgesetzblatt bekannt machen. Die Bekanntmachung muss auf diese Vorschrift Bezug nehmen und angeben</w:t>
      </w:r>
    </w:p>
    <w:p>
      <w:pPr>
        <w:ind w:left="420"/>
      </w:pPr>
      <w:r>
        <w:t xml:space="preserve">1. den Stichtag, zu dem der Wortlaut festgestellt wird,</w:t>
      </w:r>
    </w:p>
    <w:p>
      <w:pPr>
        <w:ind w:left="420"/>
      </w:pPr>
      <w:r>
        <w:t xml:space="preserve">2. die Änderungen seit der letzten Veröffentlichung des vollständigen Wortlauts im Bundesgesetzblatt sowie</w:t>
      </w:r>
    </w:p>
    <w:p>
      <w:pPr>
        <w:ind w:left="420"/>
      </w:pPr>
      <w:r>
        <w:t xml:space="preserve">3. das Inkrafttreten der Änderungen.</w:t>
      </w:r>
    </w:p>
    <w:p>
      <w:r>
        <w:rPr>
          <w:color w:val="555555"/>
          <w:sz w:val="17"/>
        </w:rPr>
        <w:t xml:space="preserve">Zitiervorschlag: § 70a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https://recht.nulegal.eu/gesetze/GKG%202004/70a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