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69b GKG 2004 — Verordnungsermächtigung</w:t>
      </w:r>
    </w:p>
    <w:p>
      <w:r>
        <w:rPr>
          <w:color w:val="555555"/>
          <w:sz w:val="18"/>
        </w:rPr>
        <w:t xml:space="preserve">Gerichtskostengesetz</w:t>
      </w:r>
    </w:p>
    <w:p>
      <w:r>
        <w:rPr>
          <w:color w:val="555555"/>
          <w:sz w:val="18"/>
        </w:rPr>
        <w:t xml:space="preserve">Stand: 07.01.2026 (konsolidierte Textfassung, kein amtliches Inkrafttretensdatum)</w:t>
      </w:r>
    </w:p>
    <w:p>
      <w:r>
        <w:t xml:space="preserve">Die Landesregierungen werden ermächtigt, durch Rechtsverordnung zu bestimmen, dass die von den Gerichten der Länder zu erhebenden Verfahrensgebühren über die in den Nummern 1211, 1217, 1411, 5111, 5113, 5211, 5221, 6111, 6211, 7111, 7113 und 8211 des Kostenverzeichnisses bestimmte Ermäßigung hinaus weiter ermäßigt werden oder entfallen, wenn das gesamte Verfahren nach einer Mediation oder nach einem anderen Verfahren der außergerichtlichen Konfliktbeilegung durch Zurücknahme der Klage oder des Antrags beendet wird und in der Klage- oder Antragsschrift mitgeteilt worden ist, dass eine Mediation oder ein anderes Verfahren der außergerichtlichen Konfliktbeilegung unternommen wird oder beabsichtigt ist, oder wenn das Gericht den Parteien die Durchführung einer Mediation oder eines anderen Verfahrens der außergerichtlichen Konfliktbeilegung vorgeschlagen hat. Satz 1 gilt entsprechend für die in den Rechtsmittelzügen von den Gerichten der Länder zu erhebenden Verfahrensgebühren; an die Stelle der Klage- oder Antragsschrift tritt der Schriftsatz, mit dem das Rechtsmittel eingelegt worden ist.</w:t>
      </w:r>
    </w:p>
    <w:p>
      <w:r>
        <w:rPr>
          <w:color w:val="555555"/>
          <w:sz w:val="17"/>
        </w:rPr>
        <w:t xml:space="preserve">Zitiervorschlag: § 69b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https://recht.nulegal.eu/gesetze/GKG%202004/69b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