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GKG 2004 — Angabe des Werts</w:t>
      </w:r>
    </w:p>
    <w:p>
      <w:r>
        <w:rPr>
          <w:color w:val="555555"/>
          <w:sz w:val="18"/>
        </w:rPr>
        <w:t xml:space="preserve">Gerichtskostengesetz</w:t>
      </w:r>
    </w:p>
    <w:p>
      <w:r>
        <w:rPr>
          <w:color w:val="555555"/>
          <w:sz w:val="18"/>
        </w:rPr>
        <w:t xml:space="preserve">Stand: 10.06.2019 (konsolidierte Textfassung, kein amtliches Inkrafttretensdatum)</w:t>
      </w:r>
    </w:p>
    <w:p>
      <w:r>
        <w:t xml:space="preserve">Bei jedem Antrag ist der Streitwert, sofern dieser nicht in einer bestimmten Geldsumme besteht, kein fester Wert bestimmt ist oder sich nicht aus früheren Anträgen ergibt, und nach Aufforderung auch der Wert eines Teils des Streitgegenstands schriftlich oder zu Protokoll der Geschäftsstelle anzugeben. Die Angabe kann jederzeit berichtigt werden.</w:t>
      </w:r>
    </w:p>
    <w:p>
      <w:r>
        <w:rPr>
          <w:color w:val="555555"/>
          <w:sz w:val="17"/>
        </w:rPr>
        <w:t xml:space="preserve">Zitiervorschlag: § 61 GKG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https://recht.nulegal.eu/gesetze/GKG%202004/61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