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60 GKG 2004 — Gerichtliche Verfahren nach dem Strafvollzugsgesetz, auch in Verbindung mit § 92 des Jugendgerichtsgesetzes</w:t>
      </w:r>
    </w:p>
    <w:p>
      <w:r>
        <w:rPr>
          <w:color w:val="555555"/>
          <w:sz w:val="18"/>
        </w:rPr>
        <w:t xml:space="preserve">Gerichtskostengesetz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Für die Bestimmung des Werts in gerichtlichen Verfahren nach dem Strafvollzugsgesetz, auch in Verbindung mit § 92 des Jugendgerichtsgesetzes, ist § 52 Absatz 1 bis 3 entsprechend anzuwenden; im Verfahren über den Antrag auf Aussetzung des Vollzugs einer Maßnahme der Vollzugsbehörde oder auf Erlass einer einstweiligen Anordnung gilt § 52 Absatz 1 und 2 entsprechend.</w:t>
      </w:r>
    </w:p>
    <w:p>
      <w:r>
        <w:rPr>
          <w:color w:val="555555"/>
          <w:sz w:val="17"/>
        </w:rPr>
        <w:t xml:space="preserve">Zitiervorschlag: § 60 GKG 2004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https://recht.nulegal.eu/gesetze/GKG%202004/60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