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GKG 2004 — Fälligkeit der Gebühren im Allgemeinen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In folgenden Verfahren wird die Verfahrensgebühr mit der Einreichung der Klage-, Antrags-, Einspruchs- oder Rechtsmittelschrift oder mit der Abgabe der entsprechenden Erklärung zu Protokoll fällig:</w:t>
      </w:r>
    </w:p>
    <w:p>
      <w:pPr>
        <w:ind w:left="420"/>
      </w:pPr>
      <w:r>
        <w:t xml:space="preserve">1. in bürgerlichen Rechtsstreitigkeiten,</w:t>
      </w:r>
    </w:p>
    <w:p>
      <w:pPr>
        <w:ind w:left="420"/>
      </w:pPr>
      <w:r>
        <w:t xml:space="preserve">2. in Insolvenzverfahren und in schifffahrtsrechtlichen Verteilungsverfahren,</w:t>
      </w:r>
    </w:p>
    <w:p>
      <w:pPr>
        <w:ind w:left="420"/>
      </w:pPr>
      <w:r>
        <w:t xml:space="preserve">3. in Verfahren nach dem Unternehmensstabilisierungs- und -restrukturierungsgesetz,</w:t>
      </w:r>
    </w:p>
    <w:p>
      <w:pPr>
        <w:ind w:left="420"/>
      </w:pPr>
      <w:r>
        <w:t xml:space="preserve">4. in Rechtsmittelverfahren des gewerblichen Rechtsschutzes und</w:t>
      </w:r>
    </w:p>
    <w:p>
      <w:pPr>
        <w:ind w:left="420"/>
      </w:pPr>
      <w:r>
        <w:t xml:space="preserve">5. in Prozessverfahren vor den Gerichten der Verwaltungs-, Finanz- und Sozialgerichtsbarkeit.</w:t>
      </w:r>
    </w:p>
    <w:p>
      <w:r>
        <w:t xml:space="preserve">Im Verfahren über ein Rechtsmittel, das vom Rechtsmittelgericht zugelassen worden ist, wird die Verfahrensgebühr mit der Zulassung fällig.</w:t>
      </w:r>
    </w:p>
    <w:p>
      <w:r>
        <w:t xml:space="preserve">(2) Soweit die Gebühr eine Entscheidung oder sonstige gerichtliche Handlung voraussetzt, wird sie mit dieser fällig.</w:t>
      </w:r>
    </w:p>
    <w:p>
      <w:r>
        <w:t xml:space="preserve">(3) In Verfahren vor den Gerichten für Arbeitssachen bestimmt sich die Fälligkeit der Kosten nach § 9.</w:t>
      </w:r>
    </w:p>
    <w:p>
      <w:r>
        <w:rPr>
          <w:color w:val="555555"/>
          <w:sz w:val="17"/>
        </w:rPr>
        <w:t xml:space="preserve">Zitiervorschlag: § 6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