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59a GKG 2004 — Umsetzungsverfahren nach dem Verbraucherrechtedurchsetzungsgesetz</w:t>
      </w:r>
    </w:p>
    <w:p>
      <w:r>
        <w:rPr>
          <w:color w:val="555555"/>
          <w:sz w:val="18"/>
        </w:rPr>
        <w:t xml:space="preserve">Gerichtskostengesetz</w:t>
      </w:r>
    </w:p>
    <w:p>
      <w:r>
        <w:rPr>
          <w:color w:val="555555"/>
          <w:sz w:val="18"/>
        </w:rPr>
        <w:t xml:space="preserve">Stand: 14.10.2023 (konsolidierte Textfassung, kein amtliches Inkrafttretensdatum)</w:t>
      </w:r>
    </w:p>
    <w:p>
      <w:r>
        <w:t xml:space="preserve">Im Umsetzungsverfahren nach dem Verbraucherrechtedurchsetzungsgesetz bestimmt sich die Gebühr nach dem Gesamtwert der von dem Umsetzungsverfahren erfassten Ansprüche.</w:t>
      </w:r>
    </w:p>
    <w:p>
      <w:r>
        <w:rPr>
          <w:color w:val="555555"/>
          <w:sz w:val="17"/>
        </w:rPr>
        <w:t xml:space="preserve">Zitiervorschlag: § 59a GKG 2004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https://recht.nulegal.eu/gesetze/GKG%202004/59a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