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57 GKG 2004 — Zwangsliquidation einer Bahneinheit</w:t>
      </w:r>
    </w:p>
    <w:p>
      <w:r>
        <w:rPr>
          <w:color w:val="555555"/>
          <w:sz w:val="18"/>
        </w:rPr>
        <w:t xml:space="preserve">Gerichtskostengesetz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Bei der Zwangsliquidation einer Bahneinheit bestimmt sich die Gebühr für das Verfahren nach dem Gesamtwert der Bestandteile der Bahneinheit.</w:t>
      </w:r>
    </w:p>
    <w:p>
      <w:r>
        <w:rPr>
          <w:color w:val="555555"/>
          <w:sz w:val="17"/>
        </w:rPr>
        <w:t xml:space="preserve">Zitiervorschlag: § 57 GKG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https://recht.nulegal.eu/gesetze/GKG%202004/57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