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GKG 2004 — Zwangsversteigerung von Schiffen, Schiffsbauwerken, Luftfahrzeugen und grundstücksgleichen Rechten</w:t>
      </w:r>
    </w:p>
    <w:p>
      <w:r>
        <w:rPr>
          <w:color w:val="555555"/>
          <w:sz w:val="18"/>
        </w:rPr>
        <w:t xml:space="preserve">Gerichtskostengesetz</w:t>
      </w:r>
    </w:p>
    <w:p>
      <w:r>
        <w:rPr>
          <w:color w:val="555555"/>
          <w:sz w:val="18"/>
        </w:rPr>
        <w:t xml:space="preserve">Stand: 10.06.2019 (konsolidierte Textfassung, kein amtliches Inkrafttretensdatum)</w:t>
      </w:r>
    </w:p>
    <w:p>
      <w:r>
        <w:t xml:space="preserve">Die §§ 54 und 55 gelten entsprechend für die Zwangsversteigerung von Schiffen, Schiffsbauwerken und Luftfahrzeugen sowie für die Zwangsversteigerung und die Zwangsverwaltung von Rechten, die den Vorschriften der Zwangsvollstreckung in das unbewegliche Vermögen unterliegen, einschließlich der unbeweglichen Kuxe.</w:t>
      </w:r>
    </w:p>
    <w:p>
      <w:r>
        <w:rPr>
          <w:color w:val="555555"/>
          <w:sz w:val="17"/>
        </w:rPr>
        <w:t xml:space="preserve">Zitiervorschlag: § 56 GKG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https://recht.nulegal.eu/gesetze/GKG%202004/56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