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51a GKG 2004 — Verfahren nach dem Kapitalanleger-Musterverfahrensgesetz</w:t>
      </w:r>
    </w:p>
    <w:p>
      <w:r>
        <w:rPr>
          <w:color w:val="555555"/>
          <w:sz w:val="18"/>
        </w:rPr>
        <w:t xml:space="preserve">Gerichtskostengesetz</w:t>
      </w:r>
    </w:p>
    <w:p>
      <w:r>
        <w:rPr>
          <w:color w:val="555555"/>
          <w:sz w:val="18"/>
        </w:rPr>
        <w:t xml:space="preserve">Stand: 23.07.2024 (konsolidierte Textfassung, kein amtliches Inkrafttretensdatum)</w:t>
      </w:r>
    </w:p>
    <w:p>
      <w:r>
        <w:t xml:space="preserve">(1) Für die Anmeldung eines Anspruchs zum Musterverfahren (§ 13 des Kapitalanleger-Musterverfahrensgesetzes) bestimmt sich der Wert nach der Höhe des Anspruchs.</w:t>
      </w:r>
    </w:p>
    <w:p>
      <w:r>
        <w:t xml:space="preserve">(2) Im Rechtsbeschwerdeverfahren ist bei der Bestimmung des Streitwerts von der Summe der in sämtlichen nach § 10 des Kapitalanleger-Musterverfahrensgesetzes ausgesetzten Verfahren geltend gemachten Ansprüche auszugehen, soweit diese von den Feststellungszielen des Musterverfahrens betroffen sind.</w:t>
      </w:r>
    </w:p>
    <w:p>
      <w:r>
        <w:t xml:space="preserve">(3) Der Musterkläger und die Beigeladenen schulden im Rechtsbeschwerdeverfahren Gerichtsgebühren jeweils nur nach dem Wert, der sich aus den von ihnen im Ausgangsverfahren geltend gemachten Ansprüchen, die von den Feststellungszielen des Musterverfahrens betroffen sind, ergibt.</w:t>
      </w:r>
    </w:p>
    <w:p>
      <w:r>
        <w:t xml:space="preserve">(4) Die Musterbeklagten schulden im Rechtsbeschwerdeverfahren Gerichtsgebühren jeweils nur nach dem Wert, der sich aus den gegen sie im Ausgangsverfahren geltend gemachten Ansprüchen, die von den Feststellungszielen des Musterverfahrens betroffen sind, ergibt.</w:t>
      </w:r>
    </w:p>
    <w:p>
      <w:r>
        <w:rPr>
          <w:color w:val="555555"/>
          <w:sz w:val="17"/>
        </w:rPr>
        <w:t xml:space="preserve">Zitiervorschlag: § 51a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https://recht.nulegal.eu/gesetze/GKG%202004/51a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