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50a GKG 2004 — Verfahren nach dem Agrarorganisationen-und-Lieferketten-Gesetz</w:t>
      </w:r>
    </w:p>
    <w:p>
      <w:r>
        <w:rPr>
          <w:color w:val="555555"/>
          <w:sz w:val="18"/>
        </w:rPr>
        <w:t xml:space="preserve">Gerichtskostengesetz</w:t>
      </w:r>
    </w:p>
    <w:p>
      <w:r>
        <w:rPr>
          <w:color w:val="555555"/>
          <w:sz w:val="18"/>
        </w:rPr>
        <w:t xml:space="preserve">Stand: 09.06.2021 (konsolidierte Textfassung, kein amtliches Inkrafttretensdatum)</w:t>
      </w:r>
    </w:p>
    <w:p>
      <w:r>
        <w:t xml:space="preserve">In Verfahren nach dem Agrarorganisationen-und-Lieferketten-Gesetz bestimmt sich der Wert nach § 3 der Zivilprozessordnung.</w:t>
      </w:r>
    </w:p>
    <w:p>
      <w:r>
        <w:rPr>
          <w:color w:val="555555"/>
          <w:sz w:val="17"/>
        </w:rPr>
        <w:t xml:space="preserve">Zitiervorschlag: § 50a GKG 2004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https://recht.nulegal.eu/gesetze/GKG%202004/50a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