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49a GKG 2004 — Wohnungseigentumssachen</w:t>
      </w:r>
    </w:p>
    <w:p>
      <w:r>
        <w:rPr>
          <w:color w:val="555555"/>
          <w:sz w:val="18"/>
        </w:rPr>
        <w:t xml:space="preserve">Gerichtskostengesetz</w:t>
      </w:r>
    </w:p>
    <w:p>
      <w:r>
        <w:rPr>
          <w:color w:val="555555"/>
          <w:sz w:val="18"/>
        </w:rPr>
        <w:t xml:space="preserve">Außer Kraft: § 49a ist seit 01.12.2020 nicht mehr im GKG 2004 enthalten. Angezeigt wird die letzte bekannte Fassung, Stand 10.06.2019.</w:t>
      </w:r>
    </w:p>
    <w:p>
      <w:r>
        <w:t xml:space="preserve">(1) Der Streitwert ist auf 50 Prozent des Interesses der Parteien und aller Beigeladenen an der Entscheidung festzusetzen. Er darf das Interesse des Klägers und der auf seiner Seite Beigetretenen an der Entscheidung nicht unterschreiten und das Fünffache des Wertes ihres Interesses nicht überschreiten. Der Wert darf in keinem Fall den Verkehrswert des Wohnungseigentums des Klägers und der auf seiner Seite Beigetretenen übersteigen.</w:t>
      </w:r>
    </w:p>
    <w:p>
      <w:r>
        <w:t xml:space="preserve">(2) Richtet sich eine Klage gegen einzelne Wohnungseigentümer, darf der Streitwert das Fünffache des Wertes ihres Interesses sowie des Interesses der auf ihrer Seite Beigetretenen nicht übersteigen. Absatz 1 Satz 3 gilt entsprechend.</w:t>
      </w:r>
    </w:p>
    <w:p>
      <w:r>
        <w:rPr>
          <w:color w:val="555555"/>
          <w:sz w:val="17"/>
        </w:rPr>
        <w:t xml:space="preserve">Zitiervorschlag: § 49a GKG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https://recht.nulegal.eu/gesetze/GKG%202004/49a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