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GKG 2004 — Nebenforderungen</w:t>
      </w:r>
    </w:p>
    <w:p>
      <w:r>
        <w:rPr>
          <w:color w:val="555555"/>
          <w:sz w:val="18"/>
        </w:rPr>
        <w:t xml:space="preserve">Gerichtskostengesetz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Sind außer dem Hauptanspruch auch Früchte, Nutzungen, Zinsen oder Kosten als Nebenforderungen betroffen, wird der Wert der Nebenforderungen nicht berücksichtigt.</w:t>
      </w:r>
    </w:p>
    <w:p>
      <w:r>
        <w:t xml:space="preserve">(2) Sind Früchte, Nutzungen, Zinsen oder Kosten als Nebenforderungen ohne den Hauptanspruch betroffen, ist der Wert der Nebenforderungen maßgebend, soweit er den Wert des Hauptanspruchs nicht übersteigt.</w:t>
      </w:r>
    </w:p>
    <w:p>
      <w:r>
        <w:t xml:space="preserve">(3) Sind die Kosten des Rechtsstreits ohne den Hauptanspruch betroffen, ist der Betrag der Kosten maßgebend, soweit er den Wert des Hauptanspruchs nicht übersteigt.</w:t>
      </w:r>
    </w:p>
    <w:p>
      <w:r>
        <w:rPr>
          <w:color w:val="555555"/>
          <w:sz w:val="17"/>
        </w:rPr>
        <w:t xml:space="preserve">Zitiervorschlag: § 43 GKG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https://recht.nulegal.eu/gesetze/GKG%202004/43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