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GKG 2004 — Verweisungen</w:t>
      </w:r>
    </w:p>
    <w:p>
      <w:r>
        <w:rPr>
          <w:color w:val="555555"/>
          <w:sz w:val="18"/>
        </w:rPr>
        <w:t xml:space="preserve">Gerichtskostengesetz</w:t>
      </w:r>
    </w:p>
    <w:p>
      <w:r>
        <w:rPr>
          <w:color w:val="555555"/>
          <w:sz w:val="18"/>
        </w:rPr>
        <w:t xml:space="preserve">Stand: 10.06.2019 (konsolidierte Textfassung, kein amtliches Inkrafttretensdatum)</w:t>
      </w:r>
    </w:p>
    <w:p>
      <w:r>
        <w:t xml:space="preserve">(1) Verweist ein erstinstanzliches Gericht oder ein Rechtsmittelgericht ein Verfahren an ein erstinstanzliches Gericht desselben oder eines anderen Zweiges der Gerichtsbarkeit, ist das frühere erstinstanzliche Verfahren als Teil des Verfahrens vor dem übernehmenden Gericht zu behandeln.</w:t>
      </w:r>
    </w:p>
    <w:p>
      <w:r>
        <w:t xml:space="preserve">(2) Mehrkosten, die durch Anrufung eines Gerichts entstehen, zu dem der Rechtsweg nicht gegeben oder das für das Verfahren nicht zuständig ist, werden nur dann erhoben, wenn die Anrufung auf verschuldeter Unkenntnis der tatsächlichen oder rechtlichen Verhältnisse beruht. Die Entscheidung trifft das Gericht, an das verwiesen worden ist.</w:t>
      </w:r>
    </w:p>
    <w:p>
      <w:r>
        <w:rPr>
          <w:color w:val="555555"/>
          <w:sz w:val="17"/>
        </w:rPr>
        <w:t xml:space="preserve">Zitiervorschlag: § 4 GKG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https://recht.nulegal.eu/gesetze/GKG%202004/4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