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GKG 2004 — Einmalige Erhebung der Gebühren</w:t>
      </w:r>
    </w:p>
    <w:p>
      <w:r>
        <w:rPr>
          <w:color w:val="555555"/>
          <w:sz w:val="18"/>
        </w:rPr>
        <w:t xml:space="preserve">Gerichtskostengesetz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Gebühr für das Verfahren im Allgemeinen und die Gebühr für eine Entscheidung werden in jedem Rechtszug hinsichtlich eines jeden Teils des Streitgegenstands nur einmal erhoben.</w:t>
      </w:r>
    </w:p>
    <w:p>
      <w:r>
        <w:rPr>
          <w:color w:val="555555"/>
          <w:sz w:val="17"/>
        </w:rPr>
        <w:t xml:space="preserve">Zitiervorschlag: § 35 GKG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https://recht.nulegal.eu/gesetze/GKG%202004/35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