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GKG 2004 — Wertgebühren</w:t>
      </w:r>
    </w:p>
    <w:p>
      <w:r>
        <w:rPr>
          <w:color w:val="555555"/>
          <w:sz w:val="18"/>
        </w:rPr>
        <w:t xml:space="preserve">Gerichtskostengesetz</w:t>
      </w:r>
    </w:p>
    <w:p>
      <w:r>
        <w:rPr>
          <w:color w:val="555555"/>
          <w:sz w:val="18"/>
        </w:rPr>
        <w:t xml:space="preserve">Stand: 01.06.2025 (konsolidierte Textfassung, kein amtliches Inkrafttretensdatum)</w:t>
      </w:r>
    </w:p>
    <w:p>
      <w:r>
        <w:t xml:space="preserve">(1) Wenn sich die Gebühren nach dem Streitwert richten, beträgt bei einem Streitwert bis 500 Euro die Gebühr 40 Euro. Die Gebühr erhöht sich bei einem</w:t>
      </w:r>
    </w:p>
    <w:p>
      <w:r>
        <w:rPr>
          <w:rFonts w:ascii="Courier New" w:hAnsi="Courier New"/>
          <w:sz w:val="17"/>
        </w:rPr>
        <w:t xml:space="preserve">Streitwert bis ... Euro    für jeden angefangenen Betrag von weiteren ... Euro    um ... Euro</w:t>
      </w:r>
    </w:p>
    <w:p>
      <w:r>
        <w:rPr>
          <w:rFonts w:ascii="Courier New" w:hAnsi="Courier New"/>
          <w:sz w:val="17"/>
        </w:rPr>
        <w:t xml:space="preserve">2 000    500    21,00</w:t>
      </w:r>
    </w:p>
    <w:p>
      <w:r>
        <w:rPr>
          <w:rFonts w:ascii="Courier New" w:hAnsi="Courier New"/>
          <w:sz w:val="17"/>
        </w:rPr>
        <w:t xml:space="preserve">10 000    1 000    22,50</w:t>
      </w:r>
    </w:p>
    <w:p>
      <w:r>
        <w:rPr>
          <w:rFonts w:ascii="Courier New" w:hAnsi="Courier New"/>
          <w:sz w:val="17"/>
        </w:rPr>
        <w:t xml:space="preserve">25 000    3 000    30,50</w:t>
      </w:r>
    </w:p>
    <w:p>
      <w:r>
        <w:rPr>
          <w:rFonts w:ascii="Courier New" w:hAnsi="Courier New"/>
          <w:sz w:val="17"/>
        </w:rPr>
        <w:t xml:space="preserve">50 000    5 000    40,50</w:t>
      </w:r>
    </w:p>
    <w:p>
      <w:r>
        <w:rPr>
          <w:rFonts w:ascii="Courier New" w:hAnsi="Courier New"/>
          <w:sz w:val="17"/>
        </w:rPr>
        <w:t xml:space="preserve">200 000    15 000    140,00</w:t>
      </w:r>
    </w:p>
    <w:p>
      <w:r>
        <w:rPr>
          <w:rFonts w:ascii="Courier New" w:hAnsi="Courier New"/>
          <w:sz w:val="17"/>
        </w:rPr>
        <w:t xml:space="preserve">500 000    30 000    210,00</w:t>
      </w:r>
    </w:p>
    <w:p>
      <w:r>
        <w:rPr>
          <w:rFonts w:ascii="Courier New" w:hAnsi="Courier New"/>
          <w:sz w:val="17"/>
        </w:rPr>
        <w:t xml:space="preserve">über 500 000    50 000    210,00</w:t>
      </w:r>
    </w:p>
    <w:p>
      <w:r>
        <w:t xml:space="preserve">Eine Gebührentabelle für Streitwerte bis 500 000 Euro ist diesem Gesetz als Anlage 2 beigefügt.</w:t>
      </w:r>
    </w:p>
    <w:p>
      <w:r>
        <w:t xml:space="preserve">(2) Der Mindestbetrag einer Gebühr ist 15 Euro. Gebühren werden auf den nächstliegenden Cent auf- oder abgerundet; 0,5 Cent werden aufgerundet.</w:t>
      </w:r>
    </w:p>
    <w:p>
      <w:r>
        <w:rPr>
          <w:color w:val="555555"/>
          <w:sz w:val="17"/>
        </w:rPr>
        <w:t xml:space="preserve">Zitiervorschlag: § 34 GKG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https://recht.nulegal.eu/gesetze/GKG%202004/34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