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GKG 2004 — Erlöschen der Zahlungspflicht</w:t>
      </w:r>
    </w:p>
    <w:p>
      <w:r>
        <w:rPr>
          <w:color w:val="555555"/>
          <w:sz w:val="18"/>
        </w:rPr>
        <w:t xml:space="preserve">Gerichtskostengesetz</w:t>
      </w:r>
    </w:p>
    <w:p>
      <w:r>
        <w:rPr>
          <w:color w:val="555555"/>
          <w:sz w:val="18"/>
        </w:rPr>
        <w:t xml:space="preserve">Stand: 10.06.2019 (konsolidierte Textfassung, kein amtliches Inkrafttretensdatum)</w:t>
      </w:r>
    </w:p>
    <w:p>
      <w:r>
        <w:t xml:space="preserve">Die durch gerichtliche oder staatsanwaltschaftliche Entscheidung begründete Verpflichtung zur Zahlung von Kosten erlischt, soweit die Entscheidung durch eine andere gerichtliche Entscheidung aufgehoben oder abgeändert wird. Soweit die Verpflichtung zur Zahlung von Kosten nur auf der aufgehobenen oder abgeänderten Entscheidung beruht hat, werden bereits gezahlte Kosten zurückerstattet.</w:t>
      </w:r>
    </w:p>
    <w:p>
      <w:r>
        <w:rPr>
          <w:color w:val="555555"/>
          <w:sz w:val="17"/>
        </w:rPr>
        <w:t xml:space="preserve">Zitiervorschlag: § 30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