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GKG 2004 — Weitere Fälle der Kostenhaftung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schuldet ferner,</w:t>
      </w:r>
    </w:p>
    <w:p>
      <w:pPr>
        <w:ind w:left="420"/>
      </w:pPr>
      <w:r>
        <w:t xml:space="preserve">1. wem durch gerichtliche oder staatsanwaltschaftliche Entscheidung die Kosten des Verfahrens auferlegt sind;</w:t>
      </w:r>
    </w:p>
    <w:p>
      <w:pPr>
        <w:ind w:left="420"/>
      </w:pPr>
      <w:r>
        <w:t xml:space="preserve">2. wer sie durch eine vor Gericht abgegebene oder dem Gericht mitgeteilte Erklärung oder in einem vor Gericht abgeschlossenen oder dem Gericht mitgeteilten Vergleich übernommen hat; dies gilt auch, wenn bei einem Vergleich ohne Bestimmung über die Kosten diese als von beiden Teilen je zur Hälfte übernommen anzusehen sind;</w:t>
      </w:r>
    </w:p>
    <w:p>
      <w:pPr>
        <w:ind w:left="420"/>
      </w:pPr>
      <w:r>
        <w:t xml:space="preserve">3. wer für die Kostenschuld eines anderen kraft Gesetzes haftet und</w:t>
      </w:r>
    </w:p>
    <w:p>
      <w:pPr>
        <w:ind w:left="420"/>
      </w:pPr>
      <w:r>
        <w:t xml:space="preserve">4. der Vollstreckungsschuldner für die notwendigen Kosten der Zwangsvollstreckung.</w:t>
      </w:r>
    </w:p>
    <w:p>
      <w:r>
        <w:rPr>
          <w:color w:val="555555"/>
          <w:sz w:val="17"/>
        </w:rPr>
        <w:t xml:space="preserve">Zitiervorschlag: § 29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