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GKG 2004 — Bußgeldsachen</w:t>
      </w:r>
    </w:p>
    <w:p>
      <w:r>
        <w:rPr>
          <w:color w:val="555555"/>
          <w:sz w:val="18"/>
        </w:rPr>
        <w:t xml:space="preserve">Gerichtskostengesetz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Betroffene, der im gerichtlichen Verfahren nach dem Gesetz über Ordnungswidrigkeiten den Einspruch gegen einen Bußgeldbescheid zurücknimmt, schuldet die entstandenen Kosten.</w:t>
      </w:r>
    </w:p>
    <w:p>
      <w:r>
        <w:rPr>
          <w:color w:val="555555"/>
          <w:sz w:val="17"/>
        </w:rPr>
        <w:t xml:space="preserve">Zitiervorschlag: § 27 GKG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https://recht.nulegal.eu/gesetze/GKG%202004/27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