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26a GKG 2004 — Umsetzungsverfahren nach dem Verbraucherrechtedurchsetzungsgesetz</w:t>
      </w:r>
    </w:p>
    <w:p>
      <w:r>
        <w:rPr>
          <w:color w:val="555555"/>
          <w:sz w:val="18"/>
        </w:rPr>
        <w:t xml:space="preserve">Gerichtskostengesetz</w:t>
      </w:r>
    </w:p>
    <w:p>
      <w:r>
        <w:rPr>
          <w:color w:val="555555"/>
          <w:sz w:val="18"/>
        </w:rPr>
        <w:t xml:space="preserve">Stand: 14.10.2023 (konsolidierte Textfassung, kein amtliches Inkrafttretensdatum)</w:t>
      </w:r>
    </w:p>
    <w:p>
      <w:r>
        <w:t xml:space="preserve">Die Kosten des Umsetzungsverfahrens nach dem Verbraucherrechtedurchsetzungsgesetz schuldet nur der im zugrunde liegenden Abhilfeverfahren verurteilte Unternehmer.</w:t>
      </w:r>
    </w:p>
    <w:p>
      <w:r>
        <w:rPr>
          <w:color w:val="555555"/>
          <w:sz w:val="17"/>
        </w:rPr>
        <w:t xml:space="preserve">Zitiervorschlag: § 26a GKG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https://recht.nulegal.eu/gesetze/GKG%202004/26a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