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GKG 2004 — Zwangsversteigerungs- und Zwangsverwaltungsverfahren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Zwangsversteigerungsverfahren ist spätestens bei der Bestimmung des Zwangsversteigerungstermins ein Vorschuss in Höhe des Doppelten einer Gebühr für die Abhaltung des Versteigerungstermins zu erheben.</w:t>
      </w:r>
    </w:p>
    <w:p>
      <w:r>
        <w:t xml:space="preserve">(2) Im Zwangsverwaltungsverfahren hat der Antragsteller jährlich einen angemessenen Gebührenvorschuss zu zahlen.</w:t>
      </w:r>
    </w:p>
    <w:p>
      <w:r>
        <w:rPr>
          <w:color w:val="555555"/>
          <w:sz w:val="17"/>
        </w:rPr>
        <w:t xml:space="preserve">Zitiervorschlag: § 15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