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GKG 2004 — Verfahren nach dem Unternehmensstabilisierungs- und -restrukturierungsgesetz</w:t>
      </w:r>
    </w:p>
    <w:p>
      <w:r>
        <w:rPr>
          <w:color w:val="555555"/>
          <w:sz w:val="18"/>
        </w:rPr>
        <w:t xml:space="preserve">Gerichtskostengesetz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(1) Über den Antrag auf Inanspruchnahme eines Instruments des Stabilisierungs- und Restrukturierungsrahmens soll erst nach Zahlung der Gebühr für das Verfahren entschieden werden.</w:t>
      </w:r>
    </w:p>
    <w:p>
      <w:r>
        <w:t xml:space="preserve">(2) Absatz 1 gilt entsprechend für den Antrag auf Bestellung eines Restrukturierungsbeauftragten oder eines Sanierungsmoderators.</w:t>
      </w:r>
    </w:p>
    <w:p>
      <w:r>
        <w:rPr>
          <w:color w:val="555555"/>
          <w:sz w:val="17"/>
        </w:rPr>
        <w:t xml:space="preserve">Zitiervorschlag: § 13a GKG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https://recht.nulegal.eu/gesetze/GKG%202004/13a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