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12a GKG 2004 — Verfahren wegen überlanger Gerichtsverfahren und strafrechtlicher Ermittlungsverfahren</w:t>
      </w:r>
    </w:p>
    <w:p>
      <w:r>
        <w:rPr>
          <w:color w:val="555555"/>
          <w:sz w:val="18"/>
        </w:rPr>
        <w:t xml:space="preserve">Gerichtskostengesetz</w:t>
      </w:r>
    </w:p>
    <w:p>
      <w:r>
        <w:rPr>
          <w:color w:val="555555"/>
          <w:sz w:val="18"/>
        </w:rPr>
        <w:t xml:space="preserve">Stand: 10.06.2019 (konsolidierte Textfassung, kein amtliches Inkrafttretensdatum)</w:t>
      </w:r>
    </w:p>
    <w:p>
      <w:r>
        <w:t xml:space="preserve">In Verfahren wegen überlanger Gerichtsverfahren und strafrechtlicher Ermittlungsverfahren ist § 12 Absatz 1 Satz 1 und 2 entsprechend anzuwenden. Wird ein solches Verfahren bei einem Gericht der Verwaltungs-, Finanz- oder Sozialgerichtsbarkeit anhängig, ist in der Aufforderung zur Zahlung der Gebühr für das Verfahren im Allgemeinen darauf hinzuweisen, dass die Klage erst nach Zahlung dieser Gebühr zugestellt und die Streitsache erst mit Zustellung der Klage rechtshängig wird.</w:t>
      </w:r>
    </w:p>
    <w:p>
      <w:r>
        <w:rPr>
          <w:color w:val="555555"/>
          <w:sz w:val="17"/>
        </w:rPr>
        <w:t xml:space="preserve">Zitiervorschlag: § 12a GKG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https://recht.nulegal.eu/gesetze/GKG%202004/12a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