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GIV — Inkrafttreten</w:t>
      </w:r>
    </w:p>
    <w:p>
      <w:r>
        <w:rPr>
          <w:color w:val="555555"/>
          <w:sz w:val="18"/>
        </w:rPr>
        <w:t xml:space="preserve">Gesundheits-IT Interoperabilitätsverordnung</w:t>
      </w:r>
    </w:p>
    <w:p>
      <w:r>
        <w:rPr>
          <w:color w:val="555555"/>
          <w:sz w:val="18"/>
        </w:rPr>
        <w:t xml:space="preserve">Stand: 03.11.2021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GIV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https://recht.nulegal.eu/gesetze/GIV/2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