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GIGV 2024 — IOP-Expertenkreis</w:t>
      </w:r>
    </w:p>
    <w:p>
      <w:r>
        <w:rPr>
          <w:color w:val="555555"/>
          <w:sz w:val="18"/>
        </w:rPr>
        <w:t xml:space="preserve">IOP-Governance-Verordnung</w:t>
      </w:r>
    </w:p>
    <w:p>
      <w:r>
        <w:rPr>
          <w:color w:val="555555"/>
          <w:sz w:val="18"/>
        </w:rPr>
        <w:t xml:space="preserve">Stand: 14.09.2024 (konsolidierte Textfassung, kein amtliches Inkrafttretensdatum)</w:t>
      </w:r>
    </w:p>
    <w:p>
      <w:r>
        <w:t xml:space="preserve">(1) Der IOP-Expertenkreis ist die Gesamtheit von ernannten Expertinnen und Experten, aus der die konkreten Mitglieder für das Expertengremium und die Arbeitskreise nach § 5 rekrutiert werden (IOP-Expertenkreis). Zudem können das Kompetenzzentrum und das Expertengremium bedarfsbezogen Mitglieder des IOP-Expertenkreises zur Erfüllung ihrer jeweiligen Aufgaben heranziehen.</w:t>
      </w:r>
    </w:p>
    <w:p>
      <w:r>
        <w:t xml:space="preserve">(2) Das Expertengremium nach § 3 ernennt im Einvernehmen mit dem Kompetenzzentrum Personen, die über Fachwissen in Form von mindestens dreijähriger Berufserfahrung in hauptberuflicher Tätigkeit in den Bereichen Gesundheitsversorgung sowie Informationstechnik und Standardisierung im Gesundheitswesen verfügen, zu Mitgliedern des IOP-Expertenkreises (Expertinnen und Experten).</w:t>
      </w:r>
    </w:p>
    <w:p>
      <w:r>
        <w:t xml:space="preserve">(3) Natürliche Personen, die über das in Absatz 2 genannte Fachwissen verfügen, können sich um die Ernennung als Expertin oder Experte über die Wissensplattform bei dem Kompetenzzentrum bewerben. Das Kompetenzzentrum leitet die Bewerbungen an das Expertengremium weiter.</w:t>
      </w:r>
    </w:p>
    <w:p>
      <w:r>
        <w:t xml:space="preserve">(4) Der IOP-Expertenkreis setzt sich aus Vertreterinnen und Vertretern folgender Gruppen zusammen:</w:t>
      </w:r>
    </w:p>
    <w:p>
      <w:pPr>
        <w:ind w:left="420"/>
      </w:pPr>
      <w:r>
        <w:t xml:space="preserve">1. Anwenderinnen und Anwender informationstechnischer Systeme, insbesondere die Gesellschaft für Telematik und die Kassenärztlichen Bundesvereinigungen,</w:t>
      </w:r>
    </w:p>
    <w:p>
      <w:pPr>
        <w:ind w:left="420"/>
      </w:pPr>
      <w:r>
        <w:t xml:space="preserve">2. für die Wahrnehmung der Interessen der Industrie maßgebliche Bundesverbände aus dem Bereich innovativer Technologien im Gesundheitswesen,</w:t>
      </w:r>
    </w:p>
    <w:p>
      <w:pPr>
        <w:ind w:left="420"/>
      </w:pPr>
      <w:r>
        <w:t xml:space="preserve">3. Länder,</w:t>
      </w:r>
    </w:p>
    <w:p>
      <w:pPr>
        <w:ind w:left="420"/>
      </w:pPr>
      <w:r>
        <w:t xml:space="preserve">4. fachlich betroffene nationale und internationale Standardisierungs- und Normungsorganisationen,</w:t>
      </w:r>
    </w:p>
    <w:p>
      <w:pPr>
        <w:ind w:left="420"/>
      </w:pPr>
      <w:r>
        <w:t xml:space="preserve">5. Verbände, insbesondere der Spitzenverband Bund der Krankenkassen,</w:t>
      </w:r>
    </w:p>
    <w:p>
      <w:pPr>
        <w:ind w:left="420"/>
      </w:pPr>
      <w:r>
        <w:t xml:space="preserve">6. fachlich betroffene Fachgesellschaften des Gesundheitswesens sowie</w:t>
      </w:r>
    </w:p>
    <w:p>
      <w:pPr>
        <w:ind w:left="420"/>
      </w:pPr>
      <w:r>
        <w:t xml:space="preserve">7. wissenschaftliche Einrichtungen und Patientenorganisationen.</w:t>
      </w:r>
    </w:p>
    <w:p>
      <w:r>
        <w:t xml:space="preserve">(5) Die Expertinnen und Experten werden für die Dauer von sechs Jahren als Mitglieder des IOP-Expertenkreises ernannt. Will ein Mitglied dem IOP-Expertenkreis nicht mehr angehören, erklärt es sein Ausscheiden schriftlich gegenüber dem Kompetenzzentrum. Eine Wiederaufnahme ist möglich.</w:t>
      </w:r>
    </w:p>
    <w:p>
      <w:r>
        <w:t xml:space="preserve">(6) Die Festlegung der einzureichenden Nachweise zur Prüfung der Voraussetzungen für die Ernennung als Mitglied des IOP-Expertenkreises erfolgt in der Geschäfts- und Verfahrensordnung nach § 18.</w:t>
      </w:r>
    </w:p>
    <w:p>
      <w:r>
        <w:t xml:space="preserve">(7) Das Kompetenzzentrum veröffentlicht eine Liste der für den IOP-Expertenkreis benannten Expertinnen und Experten auf der Wissensplattform.</w:t>
      </w:r>
    </w:p>
    <w:p>
      <w:r>
        <w:rPr>
          <w:color w:val="555555"/>
          <w:sz w:val="17"/>
        </w:rPr>
        <w:t xml:space="preserve">Zitiervorschlag: § 4 GIGV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https://recht.nulegal.eu/gesetze/GIGV%202024/4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