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GIGV 2024 — Inkrafttreten, Außerkrafttreten</w:t>
      </w:r>
    </w:p>
    <w:p>
      <w:r>
        <w:rPr>
          <w:color w:val="555555"/>
          <w:sz w:val="18"/>
        </w:rPr>
        <w:t xml:space="preserve">IOP-Governance-Verordnung</w:t>
      </w:r>
    </w:p>
    <w:p>
      <w:r>
        <w:rPr>
          <w:color w:val="555555"/>
          <w:sz w:val="18"/>
        </w:rPr>
        <w:t xml:space="preserve">Stand: 14.09.2024 (konsolidierte Textfassung, kein amtliches Inkrafttretensdatum)</w:t>
      </w:r>
    </w:p>
    <w:p>
      <w:r>
        <w:t xml:space="preserve">Diese Verordnung tritt am Tag nach der Verkündung in Kraft. Gleichzeitig tritt die IOP-Governance-Verordnung vom 7. Oktober 2021 (BGBl. I S. 4634) außer Kraft.</w:t>
      </w:r>
    </w:p>
    <w:p>
      <w:r>
        <w:rPr>
          <w:color w:val="555555"/>
          <w:sz w:val="17"/>
        </w:rPr>
        <w:t xml:space="preserve">Zitiervorschlag: § 20 GIGV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https://recht.nulegal.eu/gesetze/GIGV%202024/20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