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GIGV 2024 — Zertifikat</w:t>
      </w:r>
    </w:p>
    <w:p>
      <w:r>
        <w:rPr>
          <w:color w:val="555555"/>
          <w:sz w:val="18"/>
        </w:rPr>
        <w:t xml:space="preserve">IOP-Governance-Verordnung</w:t>
      </w:r>
    </w:p>
    <w:p>
      <w:r>
        <w:rPr>
          <w:color w:val="555555"/>
          <w:sz w:val="18"/>
        </w:rPr>
        <w:t xml:space="preserve">Stand: 15.06.2026 (konsolidierte Textfassung, kein amtliches Inkrafttretensdatum)</w:t>
      </w:r>
    </w:p>
    <w:p>
      <w:r>
        <w:t xml:space="preserve">(1) Ein informationstechnisches System wird zertifiziert, wenn es die in Anlage 1 verbindlich festgelegten Anforderungen erfüllt.</w:t>
      </w:r>
    </w:p>
    <w:p>
      <w:r>
        <w:t xml:space="preserve">(2) Das Zertifikat enthält folgende Angaben:</w:t>
      </w:r>
    </w:p>
    <w:p>
      <w:pPr>
        <w:ind w:left="420"/>
      </w:pPr>
      <w:r>
        <w:t xml:space="preserve">1. Softwarename gemäß Herstellerproduktbezeichnung,</w:t>
      </w:r>
    </w:p>
    <w:p>
      <w:pPr>
        <w:ind w:left="420"/>
      </w:pPr>
      <w:r>
        <w:t xml:space="preserve">2. Software-Versionsnummer,</w:t>
      </w:r>
    </w:p>
    <w:p>
      <w:pPr>
        <w:ind w:left="420"/>
      </w:pPr>
      <w:r>
        <w:t xml:space="preserve">3. Name und Anschrift der Herstellerin oder des Herstellers des informationstechnischen Systems,</w:t>
      </w:r>
    </w:p>
    <w:p>
      <w:pPr>
        <w:ind w:left="420"/>
      </w:pPr>
      <w:r>
        <w:t xml:space="preserve">4. Gültigkeitsdauer des Zertifikats, die ab dem Tag der Ausstellung 18 Monate nicht überschreiten soll,</w:t>
      </w:r>
    </w:p>
    <w:p>
      <w:pPr>
        <w:ind w:left="420"/>
      </w:pPr>
      <w:r>
        <w:t xml:space="preserve">5. Identifikationsnummer der nach Anlage 1 auf Konformität überprüften verbindlichen Anforderungen,</w:t>
      </w:r>
    </w:p>
    <w:p>
      <w:pPr>
        <w:ind w:left="420"/>
      </w:pPr>
      <w:r>
        <w:t xml:space="preserve">6. Version der Anforderungen nach Anlage 1, die der Konformitätsbewertung zugrunde liegen,</w:t>
      </w:r>
    </w:p>
    <w:p>
      <w:pPr>
        <w:ind w:left="420"/>
      </w:pPr>
      <w:r>
        <w:t xml:space="preserve">7. Angabe, dass das Zertifikat durch das Kompetenzzentrum ausgestellt wurde,</w:t>
      </w:r>
    </w:p>
    <w:p>
      <w:pPr>
        <w:ind w:left="420"/>
      </w:pPr>
      <w:r>
        <w:t xml:space="preserve">8. weitere Angaben, soweit sie vom Kompetenzzentrum in der Geschäfts- und Verfahrensordnung nach § 18 ergänzend festgelegt wurden.</w:t>
      </w:r>
    </w:p>
    <w:p>
      <w:r>
        <w:t xml:space="preserve">(3) Die Ausstellung des Zertifikats wird der Antragstellerin oder dem Antragsteller in elektronischer Form bekannt gegeben.</w:t>
      </w:r>
    </w:p>
    <w:p>
      <w:r>
        <w:t xml:space="preserve">(4) Die Angaben über gestellte Anträge, die Ausstellung, die Verlängerung, die Versagung, die Rücknahme oder den Widerruf eines Zertifikats sind vom Kompetenzzentrum auf der Plattform nach § 6 zu veröffentlichen.</w:t>
      </w:r>
    </w:p>
    <w:p>
      <w:r>
        <w:t xml:space="preserve">(5) Die Gültigkeitsdauer des Zertifikats nach Absatz 2 Nummer 4 kann durch das Kompetenzzentrum auf Antrag eines Herstellers oder Anbieters im Verfahren nach § 387 Absatz 1 des Fünften Buches Sozialgesetzbuch und innerhalb des Rahmens des § 387 Absatz 4 Satz 1 des Fünften Buches Sozialgesetzbuch verlängert werden, soweit und solange ein bereits zertifiziertes informationstechnisches System mit den geltenden Interoperabilitätsanforderungen übereinstimmt. Auf die Rücknahme oder den Widerruf der Ausstellung eines Zertifikats sind die §§ 48 und 49 des Verwaltungsverfahrensgesetzes anzuwenden.</w:t>
      </w:r>
    </w:p>
    <w:p>
      <w:r>
        <w:t xml:space="preserve">(6) Die beim Kompetenzzentrum beschäftigten oder von ihm beauftragten Personen dürfen bei ihrer Tätigkeit erhaltene vertrauliche Informationen nicht unbefugt offenbaren oder verwerten, auch wenn sie nicht mehr im Dienst sind oder ihre Tätigkeit beendet ist. Dies gilt auch für andere Personen, die durch dienstliche Berichterstattung Kenntnis von den in Satz 1 bezeichneten Informationen erhalten.</w:t>
      </w:r>
    </w:p>
    <w:p>
      <w:r>
        <w:t xml:space="preserve">(7) Konformitätsbewertungsverfahren nach dieser Verordnung, die vor dem Inkrafttreten einer Verordnungsänderung förmlich eingeleitet wurden, werden nach den bis zum Inkrafttreten der Verordnungsänderung geltenden Rechtsvorschriften abgeschlossen, soweit nachfolgend nichts anderes bestimmt ist. Wenn mit einzelnen durch Rechtsvorschriften vorgeschriebenen Schritten des Verfahrens noch nicht begonnen wurde, können diese auch nach den Vorschriften der geänderten Verordnung durchgeführt werden. Auf Grundlage bisheriger Fassungen dieser Verordnung wirksam ausgestellte Zertifikate und Entscheidungen des Kompetenzzentrums gelten fort.</w:t>
      </w:r>
    </w:p>
    <w:p>
      <w:r>
        <w:rPr>
          <w:color w:val="555555"/>
          <w:sz w:val="17"/>
        </w:rPr>
        <w:t xml:space="preserve">Zitiervorschlag: § 14 GIGV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https://recht.nulegal.eu/gesetze/GIGV%202024/14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GIGV 2024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