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GHfBetrG</w:t>
      </w:r>
    </w:p>
    <w:p>
      <w:r>
        <w:rPr>
          <w:color w:val="555555"/>
          <w:sz w:val="18"/>
        </w:rPr>
        <w:t xml:space="preserve">Gesetz über die Schaffung eines besonderen Arbeitgebers für Hafenarbeiter (Gesamthafenbetrieb)</w:t>
      </w:r>
    </w:p>
    <w:p>
      <w:r>
        <w:rPr>
          <w:color w:val="555555"/>
          <w:sz w:val="18"/>
        </w:rPr>
        <w:t xml:space="preserve">Stand: 10.06.2019 (konsolidierte Textfassung, kein amtliches Inkrafttretensdatum)</w:t>
      </w:r>
    </w:p>
    <w:p>
      <w:r>
        <w:t xml:space="preserve">(1) Der Gesamthafenbetrieb bestimmt nach Maßgabe der geltenden Gesetze seine Rechtsform, seine Aufgaben, seine Organe und seine Geschäftsführung, insbesondere auch die Grundsätze für die Erhebung, Verwaltung und Verwendung von Beiträgen und Umlagen; er hat dabei den Begriff der Hafenarbeit im Sinne des § 1 Abs. 1 bindend festzusetzen.</w:t>
      </w:r>
    </w:p>
    <w:p>
      <w:r>
        <w:t xml:space="preserve">(2) Die Regelungen nach Absatz 1 bedürfen der Genehmigung durch die oberste Arbeitsbehörde des Landes; die Genehmigung ist widerruflich.</w:t>
      </w:r>
    </w:p>
    <w:p>
      <w:r>
        <w:t xml:space="preserve">(3) Soweit der Gesamthafenbetrieb gemäß § 2 Abs. 1 eine nichtgewerbsmäßige Arbeitsvermittlung durchzuführen hat, ist er der Aufsicht der Bundesagentur für Arbeit unterstellt und an deren Weisungen gebunden.</w:t>
      </w:r>
    </w:p>
    <w:p>
      <w:r>
        <w:rPr>
          <w:color w:val="555555"/>
          <w:sz w:val="17"/>
        </w:rPr>
        <w:t xml:space="preserve">Zitiervorschlag: § 2 GHfBetrG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https://recht.nulegal.eu/gesetze/GHfBetrG/2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