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GGebV (Bayern) — Höhe der Gebühren</w:t>
      </w:r>
    </w:p>
    <w:p>
      <w:r>
        <w:rPr>
          <w:color w:val="555555"/>
          <w:sz w:val="18"/>
        </w:rPr>
        <w:t xml:space="preserve">Gesundheitsgebührenverordnung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Höhe der Gebühren bemißt sich nach den anliegenden Verzeichnissen.</w:t>
      </w:r>
    </w:p>
    <w:p>
      <w:r>
        <w:t xml:space="preserve">(2) Besteht ein Gebührenrahmen, ist neben dem mit der Verrichtung verbundenen Aufwand die Bedeutung der Leistung für die einzelnen Benutzer zu berücksichtigen.</w:t>
      </w:r>
    </w:p>
    <w:p>
      <w:r>
        <w:t xml:space="preserve">(3) Für Verrichtungen, die in den anliegenden Verzeichnissen nicht aufgeführt sind, ist die Gebühr nach den in den Verzeichnissen bewerteten vergleichbaren Verrichtungen zu bemessen.</w:t>
      </w:r>
    </w:p>
    <w:p>
      <w:r>
        <w:t xml:space="preserve">(4) Für Verrichtungen, die nicht nach Absatz 3 mit anderen in den Verzeichnissen aufgeführten Verrichtungen vergleichbar sind oder die einen über das übliche Maß hinausgehenden Arbeits- oder Kostenaufwand erfordern, ist die Gebühr nach dem Zeit- und Kostenaufwand und nach der Bedeutung der Leistung für die einzelnen Benutzer zu berechnen.</w:t>
      </w:r>
    </w:p>
    <w:p>
      <w:r>
        <w:t xml:space="preserve">(5) Für Verrichtungen, die auf Verlangen der Schuldner außerhalb der für die Dienststellen des Freistaates Bayern festgesetzten Dienststunden oder bei Ein- und Ausfuhr von Tieren vor 7.30 Uhr und nach 20 Uhr vorgenommen werden, ist die doppelte Gebühr zu erheben.</w:t>
      </w:r>
    </w:p>
    <w:p>
      <w:r>
        <w:rPr>
          <w:color w:val="555555"/>
          <w:sz w:val="17"/>
        </w:rPr>
        <w:t xml:space="preserve">Zitiervorschlag: § 6 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https://recht.nulegal.eu/gesetze/GGebV/6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