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GGebV (Bayern) — Erstattungsfreiheit</w:t>
      </w:r>
    </w:p>
    <w:p>
      <w:r>
        <w:rPr>
          <w:color w:val="555555"/>
          <w:sz w:val="18"/>
        </w:rPr>
        <w:t xml:space="preserve">Gesundheitsgebührenverordnung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Kommunale Gebietskörperschaften haben den in § 1 genannten staatlichen Dienststellen Gebühren und Auslagen nicht zu erstatten, die sie von Dienststellen oder Gerichten des Freistaates Bayern fordern können, diese jedoch nicht einziehen.</w:t>
      </w:r>
    </w:p>
    <w:p>
      <w:r>
        <w:t xml:space="preserve">(2) Die Kontrollbehörde für Lebensmittelsicherheit und Veterinärwesen hat dem Landesamt für Gesundheit und Lebensmittelsicherheit Gebühren und Auslagen nicht zu erstatten.</w:t>
      </w:r>
    </w:p>
    <w:p>
      <w:r>
        <w:rPr>
          <w:color w:val="555555"/>
          <w:sz w:val="17"/>
        </w:rPr>
        <w:t xml:space="preserve">Zitiervorschlag: § 4 GGebV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https://recht.nulegal.eu/gesetze/GGebV/4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