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GGebV (Bayern) — Schuldner</w:t>
      </w:r>
    </w:p>
    <w:p>
      <w:r>
        <w:rPr>
          <w:color w:val="555555"/>
          <w:sz w:val="18"/>
        </w:rPr>
        <w:t xml:space="preserve">Gesundheitsgebührenverordnung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Schuldner der Gebühren und Auslagen sind:</w:t>
      </w:r>
    </w:p>
    <w:p>
      <w:r>
        <w:t xml:space="preserve">1. wer eine Verrichtung veranlaßt,</w:t>
      </w:r>
    </w:p>
    <w:p>
      <w:r>
        <w:t xml:space="preserve">2. in wessen Interesse eine Verrichtung vorgenommen wird und</w:t>
      </w:r>
    </w:p>
    <w:p>
      <w:r>
        <w:t xml:space="preserve">3. wer Gebühren und Auslagen gegenüber der Dienststelle schriftlich übernommen hat.</w:t>
      </w:r>
    </w:p>
    <w:p>
      <w:r>
        <w:t xml:space="preserve">Mehrere Schuldner haften als Gesamtschuldner.</w:t>
      </w:r>
    </w:p>
    <w:p>
      <w:r>
        <w:rPr>
          <w:color w:val="555555"/>
          <w:sz w:val="17"/>
        </w:rPr>
        <w:t xml:space="preserve">Zitiervorschlag: § 2 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https://recht.nulegal.eu/gesetze/GGebV/2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