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GGVSee 2015 — Unterlagen für die Beförderung gefährlicher Güter</w:t>
      </w:r>
    </w:p>
    <w:p>
      <w:r>
        <w:rPr>
          <w:color w:val="555555"/>
          <w:sz w:val="18"/>
        </w:rPr>
        <w:t xml:space="preserve">Gefahrgutverordnung See</w:t>
      </w:r>
    </w:p>
    <w:p>
      <w:r>
        <w:rPr>
          <w:color w:val="555555"/>
          <w:sz w:val="18"/>
        </w:rPr>
        <w:t xml:space="preserve">Stand: 31.10.2019 (konsolidierte Textfassung, kein amtliches Inkrafttretensdatum)</w:t>
      </w:r>
    </w:p>
    <w:p>
      <w:r>
        <w:t xml:space="preserve">(1) Für verpackte gefährliche Güter sind folgende Anforderungen zu erfüllen:</w:t>
      </w:r>
    </w:p>
    <w:p>
      <w:pPr>
        <w:ind w:left="420"/>
      </w:pPr>
      <w:r>
        <w:t xml:space="preserve">1. das Beförderungsdokument muss neben den in Abschnitt 5.4.1 des IMDG-Codes geforderten Angaben auch den Namen und die Anschrift der ausstellenden Firma sowie den Namen desjenigen, der eigenverantwortlich die Pflichten des Unternehmers oder Betriebsinhabers als Versender wahrnimmt, enthalten; verschiedene Güter einer oder mehrerer Klassen dürfen mit den vorgeschriebenen Angaben in einem Beförderungsdokument nach Abschnitt 5.4.1 des IMDG-Codes zusammen aufgeführt werden, wenn für diese Güter nach den Kapiteln 3.2, 3.3, 3.4, 3.5 oder 7.2 bis 7.7 des IMDG-Codes das Stauen in einem Laderaum oder einer Güterbeförderungseinheit zugelassen ist;</w:t>
      </w:r>
    </w:p>
    <w:p>
      <w:pPr>
        <w:ind w:left="420"/>
      </w:pPr>
      <w:r>
        <w:t xml:space="preserve">2. in dem nach Unterabschnitt 5.4.3.1 des IMDG-Codes vorgeschriebenen Gefahrgutmanifest oder Stauplan sind Name und Anschrift der ausstellenden Firma sowie der Name des für die Erstellung des Gefahrgutmanifests oder des Stauplans Verantwortlichen zu vermerken.</w:t>
      </w:r>
    </w:p>
    <w:p>
      <w:r>
        <w:t xml:space="preserve">(2) Die schriftliche Ladungsinformation für gefährliche Schüttgüter muss neben den nach Abschnitt 4.2 des IMSBC-Codes geforderten Angaben auch den Namen der ausstellenden Firma sowie den Namen desjenigen enthalten, der eigenverantwortlich die Pflichten des Unternehmers oder Betriebsinhabers als Versender wahrnimmt.</w:t>
      </w:r>
    </w:p>
    <w:p>
      <w:r>
        <w:t xml:space="preserve">(3) Für gefährliche Massengüter in flüssiger oder verflüssigter Form sind folgende Ladungsinformationen erforderlich:</w:t>
      </w:r>
    </w:p>
    <w:p>
      <w:pPr>
        <w:ind w:left="420"/>
      </w:pPr>
      <w:r>
        <w:t xml:space="preserve">1. Stoffname,</w:t>
      </w:r>
    </w:p>
    <w:p>
      <w:pPr>
        <w:ind w:left="420"/>
      </w:pPr>
      <w:r>
        <w:t xml:space="preserve">2. MARPOL-Verschmutzungskategorie, wenn anwendbar,</w:t>
      </w:r>
    </w:p>
    <w:p>
      <w:pPr>
        <w:ind w:left="420"/>
      </w:pPr>
      <w:r>
        <w:t xml:space="preserve">3. Ladungstemperatur, Dichte und Flammpunkt, wenn dieser höchstens 60 °C beträgt,</w:t>
      </w:r>
    </w:p>
    <w:p>
      <w:pPr>
        <w:ind w:left="420"/>
      </w:pPr>
      <w:r>
        <w:t xml:space="preserve">4. Notfallmaßnahmen, die beim Freiwerden, bei Körperkontakt und bei Feuer zu ergreifen sind, und,</w:t>
      </w:r>
    </w:p>
    <w:p>
      <w:pPr>
        <w:ind w:left="420"/>
      </w:pPr>
      <w:r>
        <w:t xml:space="preserve">5. wenn anwendbar, alle weiteren nach Abschnitt 16.2 des IBC-Codes, Abschnitt 5.2 des BCH-Codes, Abschnitt 18.1 des IGC-Codes oder Abschnitt 18.1 des GC-Codes erforderlichen Angaben.</w:t>
      </w:r>
    </w:p>
    <w:p>
      <w:r>
        <w:t xml:space="preserve">(4) Werden die in den Absätzen 1 bis 3 genannten Informationen elektronisch übermittelt, dürfen die auf Dokumenten vorgesehenen Unterschriften durch den Namen der unterschriftsberechtigten Person ersetzt werden.</w:t>
      </w:r>
    </w:p>
    <w:p>
      <w:r>
        <w:t xml:space="preserve">(5) Auf einem Seeschiff, das gefährliche Güter befördert, sind folgende Unterlagen mitzuführen:</w:t>
      </w:r>
    </w:p>
    <w:p>
      <w:pPr>
        <w:ind w:left="420"/>
      </w:pPr>
      <w:r>
        <w:t xml:space="preserve">1. wenn das Seeschiff die Bundesflagge führt,</w:t>
      </w:r>
    </w:p>
    <w:p>
      <w:pPr>
        <w:ind w:left="780"/>
      </w:pPr>
      <w:r>
        <w:t xml:space="preserve">a) ein Abdruck dieser Verordnung und</w:t>
      </w:r>
    </w:p>
    <w:p>
      <w:pPr>
        <w:ind w:left="780"/>
      </w:pPr>
      <w:r>
        <w:t xml:space="preserve">b) der MFAG;</w:t>
      </w:r>
    </w:p>
    <w:p>
      <w:pPr>
        <w:ind w:left="420"/>
      </w:pPr>
      <w:r>
        <w:t xml:space="preserve">2. bei der Beförderung gefährlicher Güter in verpackter Form,</w:t>
      </w:r>
    </w:p>
    <w:p>
      <w:pPr>
        <w:ind w:left="780"/>
      </w:pPr>
      <w:r>
        <w:t xml:space="preserve">a) der IMDG-Code,</w:t>
      </w:r>
    </w:p>
    <w:p>
      <w:pPr>
        <w:ind w:left="780"/>
      </w:pPr>
      <w:r>
        <w:t xml:space="preserve">b) der EmS-Leitfaden,</w:t>
      </w:r>
    </w:p>
    <w:p>
      <w:pPr>
        <w:ind w:left="780"/>
      </w:pPr>
      <w:r>
        <w:t xml:space="preserve">c) die in Abschnitt 5.4.3 des IMDG-Codes geforderten Unterlagen,</w:t>
      </w:r>
    </w:p>
    <w:p>
      <w:pPr>
        <w:ind w:left="780"/>
      </w:pPr>
      <w:r>
        <w:t xml:space="preserve">d) bei der grenzüberschreitenden Beförderung gefährlicher Abfälle zusätzlich die in Absatz 2.0.5.3.2 des IMDG-Codes geforderten Unterlagen,</w:t>
      </w:r>
    </w:p>
    <w:p>
      <w:pPr>
        <w:ind w:left="780"/>
      </w:pPr>
      <w:r>
        <w:t xml:space="preserve">e) die erforderliche Bescheinigung nach Kapitel II-2 Regel 19 des SOLAS-Übereinkommens und</w:t>
      </w:r>
    </w:p>
    <w:p>
      <w:pPr>
        <w:ind w:left="780"/>
      </w:pPr>
      <w:r>
        <w:t xml:space="preserve">f) ein Zeugnis nach dem INF-Code, wenn radioaktive Stoffe befördert werden, die dem INF-Code unterliegen;</w:t>
      </w:r>
    </w:p>
    <w:p>
      <w:pPr>
        <w:ind w:left="420"/>
      </w:pPr>
      <w:r>
        <w:t xml:space="preserve">3. bei der Beförderung gefährlicher Güter in fester Form als Massengut,</w:t>
      </w:r>
    </w:p>
    <w:p>
      <w:pPr>
        <w:ind w:left="780"/>
      </w:pPr>
      <w:r>
        <w:t xml:space="preserve">a) ein Beförderungsdokument, das mindestens die Anforderungen nach Kapitel VI Teil A Regel 2 des SOLAS-Übereinkommens erfüllt,</w:t>
      </w:r>
    </w:p>
    <w:p>
      <w:pPr>
        <w:ind w:left="780"/>
      </w:pPr>
      <w:r>
        <w:t xml:space="preserve">b) die erforderliche Bescheinigung nach Kapitel II-2 Regel 19 des SOLAS-Übereinkommens,</w:t>
      </w:r>
    </w:p>
    <w:p>
      <w:pPr>
        <w:ind w:left="780"/>
      </w:pPr>
      <w:r>
        <w:t xml:space="preserve">c) bei der grenzüberschreitenden Beförderung gefährlicher Abfälle zusätzlich die in Abschnitt 10 des IMSBC-Codes geforderten Unterlagen und</w:t>
      </w:r>
    </w:p>
    <w:p>
      <w:pPr>
        <w:ind w:left="780"/>
      </w:pPr>
      <w:r>
        <w:t xml:space="preserve">d) der IMSBC-Code;</w:t>
      </w:r>
    </w:p>
    <w:p>
      <w:pPr>
        <w:ind w:left="420"/>
      </w:pPr>
      <w:r>
        <w:t xml:space="preserve">4. bei der Beförderung flüssiger Stoffe, die dem IBC-Code, oder verflüssigter Gase, die dem IGC-Code unterliegen,</w:t>
      </w:r>
    </w:p>
    <w:p>
      <w:pPr>
        <w:ind w:left="780"/>
      </w:pPr>
      <w:r>
        <w:t xml:space="preserve">a) der IBC-Code oder der IGC-Code,</w:t>
      </w:r>
    </w:p>
    <w:p>
      <w:pPr>
        <w:ind w:left="780"/>
      </w:pPr>
      <w:r>
        <w:t xml:space="preserve">b) der BCH-Code oder der GC-Code, wenn zutreffend und das Schiff die Bundesflagge führt,</w:t>
      </w:r>
    </w:p>
    <w:p>
      <w:pPr>
        <w:ind w:left="780"/>
      </w:pPr>
      <w:r>
        <w:t xml:space="preserve">c) die in Abschnitt 16.2 des IBC-Codes oder Abschnitt 18.1 des IGC-Codes geforderten Unterlagen,</w:t>
      </w:r>
    </w:p>
    <w:p>
      <w:pPr>
        <w:ind w:left="780"/>
      </w:pPr>
      <w:r>
        <w:t xml:space="preserve">d) die in Abschnitt 5.2 des BCH-Codes oder Abschnitt 18.1 des GC-Codes geforderten Unterlagen, wenn zutreffend und das Schiff die Bundesflagge führt, und</w:t>
      </w:r>
    </w:p>
    <w:p>
      <w:pPr>
        <w:ind w:left="780"/>
      </w:pPr>
      <w:r>
        <w:t xml:space="preserve">e) bei der grenzüberschreitenden Beförderung gefährlicher Abfälle zusätzlich die in Abschnitt 20.5.1 des IBC-Codes oder Abschnitt 8.5 des BCH-Codes geforderten Unterlagen.</w:t>
      </w:r>
    </w:p>
    <w:p>
      <w:r>
        <w:t xml:space="preserve">(6) Anstelle der in Absatz 5 Nummer 2 Buchstabe a und b, Nummer 3 Buchstabe d und Nummer 4 Buchstabe a und b genannten Vorschriften dürfen die von der Internationalen Seeschifffahrts-Organisation (IMO) bekannt gemachten entsprechenden Vorschriften mitgeführt werden.</w:t>
      </w:r>
    </w:p>
    <w:p>
      <w:r>
        <w:t xml:space="preserve">(7) Auf einem Schiff, das die Bundesflagge führt, sind die in Absatz 5 Nummer 2 Buchstabe c und d genannten Unterlagen bis zur Beendigung der Reise mitzuführen. Werden Datenverarbeitungssysteme verwendet, sind die darauf gespeicherten Informationen bis zum Ende der Reise vorzuhalten. Die Unterlagen nach Satz 1 sowie die gespeicherten Informationen nach Satz 2 müssen auch nach Ende der Reise bis zum Abschluss der Unfalluntersuchung auf dem Seeschiff aufbewahrt werden, wenn Unfälle nach § 4 Absatz 8 gemeldet worden sind.</w:t>
      </w:r>
    </w:p>
    <w:p>
      <w:r>
        <w:t xml:space="preserve">(8) Die nach den Absätzen 5 und 6 sowie nach § 3 Absatz 5 erforderlichen Unterlagen oder Ausdrucke aus den Datenverarbeitungssystemen sind zuständigen Personen auf Verlangen zur Prüfung vorzulegen.</w:t>
      </w:r>
    </w:p>
    <w:p>
      <w:r>
        <w:rPr>
          <w:color w:val="555555"/>
          <w:sz w:val="17"/>
        </w:rPr>
        <w:t xml:space="preserve">Zitiervorschlag: § 6 GGVSee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https://recht.nulegal.eu/gesetze/GGVSee%202015/6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