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GGVSee 2015 — Verladung gefährlicher Güter</w:t>
      </w:r>
    </w:p>
    <w:p>
      <w:r>
        <w:rPr>
          <w:color w:val="555555"/>
          <w:sz w:val="18"/>
        </w:rPr>
        <w:t xml:space="preserve">Gefahrgutverordnung See</w:t>
      </w:r>
    </w:p>
    <w:p>
      <w:r>
        <w:rPr>
          <w:color w:val="555555"/>
          <w:sz w:val="18"/>
        </w:rPr>
        <w:t xml:space="preserve">Stand: 31.10.2019 (konsolidierte Textfassung, kein amtliches Inkrafttretensdatum)</w:t>
      </w:r>
    </w:p>
    <w:p>
      <w:r>
        <w:t xml:space="preserve">(1) Vor der Verladung gefährlicher Güter sind Stauanweisungen unter Beachtung der anwendbaren Stau- und Trennvorschriften nach den Kapiteln 7.1, 7.2, 7.4 bis 7.7 in Verbindung mit Abschnitt 3.1.4 und Kapitel 3.2 des IMDG-Codes und nach Unterabschnitt 9.3 des IMSBC-Codes sowie der Vorschriften des Kapitels II-2 Regel 19 des SOLAS-Übereinkommens festzulegen.</w:t>
      </w:r>
    </w:p>
    <w:p>
      <w:r>
        <w:t xml:space="preserve">(2) Bei der Beförderung verpackter gefährlicher Güter ist die Ladung unter Beachtung des CSS-Codes zu sichern. Die Ladungsstauung und -sicherung muss vor dem Auslaufen abgeschlossen sein und beim Anlegen im Bestimmungshafen noch vorhanden sein.</w:t>
      </w:r>
    </w:p>
    <w:p>
      <w:r>
        <w:rPr>
          <w:color w:val="555555"/>
          <w:sz w:val="17"/>
        </w:rPr>
        <w:t xml:space="preserve">Zitiervorschlag: § 5 GGVSee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https://recht.nulegal.eu/gesetze/GGVSee%202015/5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